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0627F0F" w14:textId="025A2147" w:rsidR="00A5000B" w:rsidRPr="007E63AB" w:rsidRDefault="0043778C" w:rsidP="007E63AB">
      <w:pPr>
        <w:pStyle w:val="RTFrontcovermaintitle"/>
        <w:spacing w:before="10680" w:line="264" w:lineRule="auto"/>
        <w:rPr>
          <w:sz w:val="72"/>
          <w:szCs w:val="72"/>
        </w:rPr>
      </w:pPr>
      <w:r>
        <w:rPr>
          <w:sz w:val="72"/>
          <w:szCs w:val="72"/>
        </w:rPr>
        <w:t>Criminalizing</w:t>
      </w:r>
      <w:r w:rsidR="00B72482">
        <w:rPr>
          <w:sz w:val="72"/>
          <w:szCs w:val="72"/>
        </w:rPr>
        <w:t xml:space="preserve"> </w:t>
      </w:r>
      <w:r w:rsidR="003374CB">
        <w:rPr>
          <w:sz w:val="72"/>
          <w:szCs w:val="72"/>
        </w:rPr>
        <w:t>p</w:t>
      </w:r>
      <w:r w:rsidR="00CF14B2" w:rsidRPr="00D24291">
        <w:rPr>
          <w:rStyle w:val="PageNumber"/>
          <w:lang w:val="fr-CA" w:eastAsia="zh-CN"/>
        </w:rPr>
        <w:drawing>
          <wp:anchor distT="0" distB="144145" distL="114300" distR="114300" simplePos="0" relativeHeight="251681280" behindDoc="0" locked="1" layoutInCell="1" allowOverlap="1" wp14:anchorId="097681EA" wp14:editId="2C97D605">
            <wp:simplePos x="0" y="0"/>
            <wp:positionH relativeFrom="margin">
              <wp:align>center</wp:align>
            </wp:positionH>
            <wp:positionV relativeFrom="margin">
              <wp:posOffset>92075</wp:posOffset>
            </wp:positionV>
            <wp:extent cx="6537960" cy="6537960"/>
            <wp:effectExtent l="0" t="0" r="0" b="0"/>
            <wp:wrapNone/>
            <wp:docPr id="14" name="Placehold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portcover300.jpg"/>
                    <pic:cNvPicPr/>
                  </pic:nvPicPr>
                  <pic:blipFill rotWithShape="1">
                    <a:blip r:embed="rId9" cstate="print">
                      <a:extLst>
                        <a:ext uri="{28A0092B-C50C-407E-A947-70E740481C1C}">
                          <a14:useLocalDpi xmlns:a14="http://schemas.microsoft.com/office/drawing/2010/main"/>
                        </a:ext>
                      </a:extLst>
                    </a:blip>
                    <a:srcRect t="16936" b="16936"/>
                    <a:stretch/>
                  </pic:blipFill>
                  <pic:spPr bwMode="auto">
                    <a:xfrm>
                      <a:off x="0" y="0"/>
                      <a:ext cx="6537960" cy="6537960"/>
                    </a:xfrm>
                    <a:prstGeom prst="rect">
                      <a:avLst/>
                    </a:prstGeom>
                    <a:ln>
                      <a:noFill/>
                    </a:ln>
                    <a:extLst>
                      <a:ext uri="{53640926-AAD7-44D8-BBD7-CCE9431645EC}">
                        <a14:shadowObscured xmlns:a14="http://schemas.microsoft.com/office/drawing/2010/main"/>
                      </a:ext>
                      <a:ext uri="{FAA26D3D-D897-4be2-8F04-BA451C77F1D7}">
                        <ma14:placeholder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5="http://schemas.microsoft.com/office/word/2012/wordml" val="1"/>
                      </a:ext>
                    </a:extLst>
                  </pic:spPr>
                </pic:pic>
              </a:graphicData>
            </a:graphic>
            <wp14:sizeRelH relativeFrom="page">
              <wp14:pctWidth>0</wp14:pctWidth>
            </wp14:sizeRelH>
            <wp14:sizeRelV relativeFrom="page">
              <wp14:pctHeight>0</wp14:pctHeight>
            </wp14:sizeRelV>
          </wp:anchor>
        </w:drawing>
      </w:r>
      <w:r w:rsidR="003374CB">
        <w:rPr>
          <w:sz w:val="72"/>
          <w:szCs w:val="72"/>
        </w:rPr>
        <w:t>regnancy</w:t>
      </w:r>
      <w:r w:rsidR="00BF6798" w:rsidRPr="007E63AB">
        <w:rPr>
          <w:sz w:val="72"/>
          <w:szCs w:val="72"/>
        </w:rPr>
        <w:t> </w:t>
      </w:r>
    </w:p>
    <w:p w14:paraId="4DB12369" w14:textId="452AE6F0" w:rsidR="009B53FB" w:rsidRPr="00DC77F3" w:rsidRDefault="0043778C" w:rsidP="003374CB">
      <w:pPr>
        <w:pStyle w:val="RTSubheadinglightCAPS"/>
      </w:pPr>
      <w:r>
        <w:t>policing</w:t>
      </w:r>
      <w:r w:rsidR="003374CB">
        <w:t xml:space="preserve"> pregnant women who use drugs in the usa</w:t>
      </w:r>
    </w:p>
    <w:p w14:paraId="1FA85F7E" w14:textId="77777777" w:rsidR="00444FA5" w:rsidRPr="00E07FAD" w:rsidRDefault="00830FDE" w:rsidP="00444FA5">
      <w:pPr>
        <w:pStyle w:val="RTMissionStatement"/>
        <w:rPr>
          <w:rStyle w:val="RTHighlightedtext"/>
          <w:highlight w:val="yellow"/>
        </w:rPr>
      </w:pPr>
      <w:r>
        <w:rPr>
          <w:rStyle w:val="RTHighlightedtext"/>
        </w:rPr>
        <w:lastRenderedPageBreak/>
        <w:t> </w:t>
      </w:r>
      <w:r w:rsidR="00444FA5" w:rsidRPr="00E07FAD">
        <w:rPr>
          <w:rStyle w:val="RTHighlightedtext"/>
          <w:highlight w:val="yellow"/>
        </w:rPr>
        <w:t xml:space="preserve">Amnesty International is a global movement of more   </w:t>
      </w:r>
      <w:r w:rsidR="00444FA5" w:rsidRPr="00E07FAD">
        <w:rPr>
          <w:rStyle w:val="RTHighlightedtext"/>
          <w:highlight w:val="yellow"/>
        </w:rPr>
        <w:br/>
        <w:t xml:space="preserve"> than 7 million people who campaign for a world  </w:t>
      </w:r>
      <w:r w:rsidR="00444FA5" w:rsidRPr="00E07FAD">
        <w:rPr>
          <w:rStyle w:val="RTHighlightedtext"/>
          <w:highlight w:val="yellow"/>
        </w:rPr>
        <w:br/>
        <w:t xml:space="preserve"> where human rights are enjoyed by all. </w:t>
      </w:r>
    </w:p>
    <w:p w14:paraId="19643147" w14:textId="77777777" w:rsidR="00444FA5" w:rsidRPr="00E07FAD" w:rsidRDefault="00444FA5" w:rsidP="00444FA5">
      <w:pPr>
        <w:pStyle w:val="RTMissionStatement"/>
        <w:rPr>
          <w:rStyle w:val="RTHighlightedtext"/>
          <w:highlight w:val="yellow"/>
        </w:rPr>
      </w:pPr>
      <w:r w:rsidRPr="00E07FAD">
        <w:rPr>
          <w:rStyle w:val="RTHighlightedtext"/>
          <w:highlight w:val="yellow"/>
        </w:rPr>
        <w:t xml:space="preserve"> Our vision is for every person to enjoy all the rights  </w:t>
      </w:r>
      <w:r w:rsidRPr="00E07FAD">
        <w:rPr>
          <w:rStyle w:val="RTHighlightedtext"/>
          <w:highlight w:val="yellow"/>
        </w:rPr>
        <w:br/>
        <w:t xml:space="preserve"> enshrined in the Universal Declaration of Human Rights  </w:t>
      </w:r>
      <w:r w:rsidRPr="00E07FAD">
        <w:rPr>
          <w:rStyle w:val="RTHighlightedtext"/>
          <w:highlight w:val="yellow"/>
        </w:rPr>
        <w:br/>
        <w:t xml:space="preserve"> and other international human rights standards. </w:t>
      </w:r>
    </w:p>
    <w:p w14:paraId="33C335BA" w14:textId="5E2D50A7" w:rsidR="001079FA" w:rsidRDefault="00444FA5" w:rsidP="00444FA5">
      <w:pPr>
        <w:pStyle w:val="RTMissionStatement"/>
        <w:rPr>
          <w:rStyle w:val="RTHighlightedtext"/>
        </w:rPr>
      </w:pPr>
      <w:r w:rsidRPr="00E07FAD">
        <w:rPr>
          <w:rStyle w:val="RTHighlightedtext"/>
          <w:highlight w:val="yellow"/>
        </w:rPr>
        <w:t xml:space="preserve"> We are independent of any government, political  </w:t>
      </w:r>
      <w:r w:rsidRPr="00E07FAD">
        <w:rPr>
          <w:rStyle w:val="RTHighlightedtext"/>
          <w:highlight w:val="yellow"/>
        </w:rPr>
        <w:br/>
        <w:t xml:space="preserve"> ideology, economic interest or religion and are funded   </w:t>
      </w:r>
      <w:r w:rsidRPr="00E07FAD">
        <w:rPr>
          <w:rStyle w:val="RTHighlightedtext"/>
          <w:highlight w:val="yellow"/>
        </w:rPr>
        <w:br/>
        <w:t xml:space="preserve"> mainly by our membership and public donations.</w:t>
      </w:r>
      <w:r>
        <w:rPr>
          <w:rStyle w:val="RTHighlightedtext"/>
        </w:rPr>
        <w:t> </w:t>
      </w:r>
    </w:p>
    <w:p w14:paraId="62F0FE9A" w14:textId="77777777" w:rsidR="001079FA" w:rsidRPr="001079FA" w:rsidRDefault="001079FA" w:rsidP="001079FA">
      <w:pPr>
        <w:rPr>
          <w:lang w:val="en-GB" w:eastAsia="en-GB"/>
        </w:rPr>
      </w:pPr>
    </w:p>
    <w:p w14:paraId="52645893" w14:textId="77777777" w:rsidR="001079FA" w:rsidRPr="001079FA" w:rsidRDefault="001079FA" w:rsidP="001079FA">
      <w:pPr>
        <w:rPr>
          <w:lang w:val="en-GB" w:eastAsia="en-GB"/>
        </w:rPr>
      </w:pPr>
    </w:p>
    <w:p w14:paraId="6EA6D831" w14:textId="77777777" w:rsidR="001079FA" w:rsidRPr="001079FA" w:rsidRDefault="001079FA" w:rsidP="001079FA">
      <w:pPr>
        <w:rPr>
          <w:lang w:val="en-GB" w:eastAsia="en-GB"/>
        </w:rPr>
      </w:pPr>
    </w:p>
    <w:p w14:paraId="11C0B302" w14:textId="77777777" w:rsidR="001079FA" w:rsidRPr="001079FA" w:rsidRDefault="001079FA" w:rsidP="001079FA">
      <w:pPr>
        <w:rPr>
          <w:lang w:val="en-GB" w:eastAsia="en-GB"/>
        </w:rPr>
      </w:pPr>
    </w:p>
    <w:p w14:paraId="28A01A16" w14:textId="77777777" w:rsidR="001079FA" w:rsidRPr="001079FA" w:rsidRDefault="001079FA" w:rsidP="001079FA">
      <w:pPr>
        <w:rPr>
          <w:lang w:val="en-GB" w:eastAsia="en-GB"/>
        </w:rPr>
      </w:pPr>
    </w:p>
    <w:p w14:paraId="211586F9" w14:textId="77777777" w:rsidR="001079FA" w:rsidRPr="001079FA" w:rsidRDefault="001079FA" w:rsidP="001079FA">
      <w:pPr>
        <w:rPr>
          <w:lang w:val="en-GB" w:eastAsia="en-GB"/>
        </w:rPr>
      </w:pPr>
    </w:p>
    <w:p w14:paraId="51E7D526" w14:textId="77777777" w:rsidR="001079FA" w:rsidRPr="001079FA" w:rsidRDefault="001079FA" w:rsidP="001079FA">
      <w:pPr>
        <w:rPr>
          <w:lang w:val="en-GB" w:eastAsia="en-GB"/>
        </w:rPr>
      </w:pPr>
    </w:p>
    <w:p w14:paraId="45E8F2B6" w14:textId="77777777" w:rsidR="001079FA" w:rsidRPr="001079FA" w:rsidRDefault="001079FA" w:rsidP="001079FA">
      <w:pPr>
        <w:rPr>
          <w:lang w:val="en-GB" w:eastAsia="en-GB"/>
        </w:rPr>
      </w:pPr>
    </w:p>
    <w:p w14:paraId="14B41D24" w14:textId="77777777" w:rsidR="001079FA" w:rsidRPr="001079FA" w:rsidRDefault="001079FA" w:rsidP="001079FA">
      <w:pPr>
        <w:rPr>
          <w:lang w:val="en-GB" w:eastAsia="en-GB"/>
        </w:rPr>
      </w:pPr>
    </w:p>
    <w:p w14:paraId="5CCEAC91" w14:textId="77777777" w:rsidR="001079FA" w:rsidRPr="001079FA" w:rsidRDefault="001079FA" w:rsidP="001079FA">
      <w:pPr>
        <w:rPr>
          <w:lang w:val="en-GB" w:eastAsia="en-GB"/>
        </w:rPr>
      </w:pPr>
    </w:p>
    <w:p w14:paraId="7FBF233E" w14:textId="77777777" w:rsidR="001079FA" w:rsidRPr="001079FA" w:rsidRDefault="001079FA" w:rsidP="001079FA">
      <w:pPr>
        <w:rPr>
          <w:lang w:val="en-GB" w:eastAsia="en-GB"/>
        </w:rPr>
      </w:pPr>
    </w:p>
    <w:p w14:paraId="62B8094B" w14:textId="77777777" w:rsidR="001079FA" w:rsidRPr="001079FA" w:rsidRDefault="001079FA" w:rsidP="001079FA">
      <w:pPr>
        <w:rPr>
          <w:lang w:val="en-GB" w:eastAsia="en-GB"/>
        </w:rPr>
      </w:pPr>
    </w:p>
    <w:p w14:paraId="4949612E" w14:textId="77777777" w:rsidR="00290B00" w:rsidRDefault="00290B00" w:rsidP="001079FA">
      <w:pPr>
        <w:rPr>
          <w:lang w:val="en-GB" w:eastAsia="en-GB"/>
        </w:rPr>
        <w:sectPr w:rsidR="00290B00" w:rsidSect="007E63AB">
          <w:footerReference w:type="default" r:id="rId10"/>
          <w:footerReference w:type="first" r:id="rId11"/>
          <w:pgSz w:w="12240" w:h="15840" w:code="1"/>
          <w:pgMar w:top="794" w:right="794" w:bottom="794" w:left="794" w:header="709" w:footer="851" w:gutter="0"/>
          <w:cols w:space="708"/>
          <w:titlePg/>
          <w:docGrid w:linePitch="360"/>
        </w:sectPr>
      </w:pPr>
    </w:p>
    <w:p w14:paraId="1F2200DF" w14:textId="77777777" w:rsidR="006C7C34" w:rsidRPr="00C06C22" w:rsidRDefault="009800D2" w:rsidP="003C08D2">
      <w:pPr>
        <w:pStyle w:val="RTTitle-NonTOC"/>
        <w:rPr>
          <w:noProof w:val="0"/>
          <w:lang w:val="en-US"/>
        </w:rPr>
      </w:pPr>
      <w:r w:rsidRPr="00C06C22">
        <w:rPr>
          <w:noProof w:val="0"/>
          <w:lang w:val="en-US"/>
        </w:rPr>
        <w:lastRenderedPageBreak/>
        <w:t>contents</w:t>
      </w:r>
    </w:p>
    <w:p w14:paraId="55C0F582" w14:textId="77777777" w:rsidR="004D456B" w:rsidRDefault="00A164C2">
      <w:pPr>
        <w:pStyle w:val="TOC1"/>
        <w:rPr>
          <w:rFonts w:asciiTheme="minorHAnsi" w:hAnsiTheme="minorHAnsi" w:cstheme="minorBidi"/>
          <w:b w:val="0"/>
          <w:bCs w:val="0"/>
          <w:caps w:val="0"/>
          <w:noProof/>
          <w:color w:val="auto"/>
          <w:lang w:val="fr-CA" w:eastAsia="zh-CN"/>
        </w:rPr>
      </w:pPr>
      <w:r w:rsidRPr="00C06C22">
        <w:fldChar w:fldCharType="begin"/>
      </w:r>
      <w:r w:rsidRPr="00C06C22">
        <w:instrText xml:space="preserve"> TOC \h \z \t "RT Title (no numbers),1,RT Title (numbered),1,RT Numbered Heading,2,RT Heading (no numbers),2,RT Subheading (no numbers),3,RT Numbered Subheading,3" </w:instrText>
      </w:r>
      <w:r w:rsidRPr="00C06C22">
        <w:fldChar w:fldCharType="separate"/>
      </w:r>
      <w:hyperlink w:anchor="_Toc482741414" w:history="1">
        <w:r w:rsidR="004D456B" w:rsidRPr="004B456A">
          <w:rPr>
            <w:rStyle w:val="Hyperlink"/>
            <w:noProof/>
          </w:rPr>
          <w:t>1. Executive summary</w:t>
        </w:r>
        <w:r w:rsidR="004D456B">
          <w:rPr>
            <w:noProof/>
            <w:webHidden/>
          </w:rPr>
          <w:tab/>
        </w:r>
        <w:r w:rsidR="004D456B">
          <w:rPr>
            <w:noProof/>
            <w:webHidden/>
          </w:rPr>
          <w:fldChar w:fldCharType="begin"/>
        </w:r>
        <w:r w:rsidR="004D456B">
          <w:rPr>
            <w:noProof/>
            <w:webHidden/>
          </w:rPr>
          <w:instrText xml:space="preserve"> PAGEREF _Toc482741414 \h </w:instrText>
        </w:r>
        <w:r w:rsidR="004D456B">
          <w:rPr>
            <w:noProof/>
            <w:webHidden/>
          </w:rPr>
        </w:r>
        <w:r w:rsidR="004D456B">
          <w:rPr>
            <w:noProof/>
            <w:webHidden/>
          </w:rPr>
          <w:fldChar w:fldCharType="separate"/>
        </w:r>
        <w:r w:rsidR="004D456B">
          <w:rPr>
            <w:noProof/>
            <w:webHidden/>
          </w:rPr>
          <w:t>7</w:t>
        </w:r>
        <w:r w:rsidR="004D456B">
          <w:rPr>
            <w:noProof/>
            <w:webHidden/>
          </w:rPr>
          <w:fldChar w:fldCharType="end"/>
        </w:r>
      </w:hyperlink>
    </w:p>
    <w:p w14:paraId="66974EDF" w14:textId="77777777" w:rsidR="004D456B" w:rsidRDefault="004D456B">
      <w:pPr>
        <w:pStyle w:val="TOC1"/>
        <w:rPr>
          <w:rFonts w:asciiTheme="minorHAnsi" w:hAnsiTheme="minorHAnsi" w:cstheme="minorBidi"/>
          <w:b w:val="0"/>
          <w:bCs w:val="0"/>
          <w:caps w:val="0"/>
          <w:noProof/>
          <w:color w:val="auto"/>
          <w:lang w:val="fr-CA" w:eastAsia="zh-CN"/>
        </w:rPr>
      </w:pPr>
      <w:hyperlink w:anchor="_Toc482741415" w:history="1">
        <w:r w:rsidRPr="004B456A">
          <w:rPr>
            <w:rStyle w:val="Hyperlink"/>
            <w:noProof/>
          </w:rPr>
          <w:t>2. methodology</w:t>
        </w:r>
        <w:r>
          <w:rPr>
            <w:noProof/>
            <w:webHidden/>
          </w:rPr>
          <w:tab/>
        </w:r>
        <w:r>
          <w:rPr>
            <w:noProof/>
            <w:webHidden/>
          </w:rPr>
          <w:fldChar w:fldCharType="begin"/>
        </w:r>
        <w:r>
          <w:rPr>
            <w:noProof/>
            <w:webHidden/>
          </w:rPr>
          <w:instrText xml:space="preserve"> PAGEREF _Toc482741415 \h </w:instrText>
        </w:r>
        <w:r>
          <w:rPr>
            <w:noProof/>
            <w:webHidden/>
          </w:rPr>
        </w:r>
        <w:r>
          <w:rPr>
            <w:noProof/>
            <w:webHidden/>
          </w:rPr>
          <w:fldChar w:fldCharType="separate"/>
        </w:r>
        <w:r>
          <w:rPr>
            <w:noProof/>
            <w:webHidden/>
          </w:rPr>
          <w:t>12</w:t>
        </w:r>
        <w:r>
          <w:rPr>
            <w:noProof/>
            <w:webHidden/>
          </w:rPr>
          <w:fldChar w:fldCharType="end"/>
        </w:r>
      </w:hyperlink>
    </w:p>
    <w:p w14:paraId="55B9A843" w14:textId="77777777" w:rsidR="004D456B" w:rsidRDefault="004D456B">
      <w:pPr>
        <w:pStyle w:val="TOC1"/>
        <w:rPr>
          <w:rFonts w:asciiTheme="minorHAnsi" w:hAnsiTheme="minorHAnsi" w:cstheme="minorBidi"/>
          <w:b w:val="0"/>
          <w:bCs w:val="0"/>
          <w:caps w:val="0"/>
          <w:noProof/>
          <w:color w:val="auto"/>
          <w:lang w:val="fr-CA" w:eastAsia="zh-CN"/>
        </w:rPr>
      </w:pPr>
      <w:hyperlink w:anchor="_Toc482741416" w:history="1">
        <w:r w:rsidRPr="004B456A">
          <w:rPr>
            <w:rStyle w:val="Hyperlink"/>
            <w:noProof/>
          </w:rPr>
          <w:t>3. pregnancy criminalization in the usa</w:t>
        </w:r>
        <w:r>
          <w:rPr>
            <w:noProof/>
            <w:webHidden/>
          </w:rPr>
          <w:tab/>
        </w:r>
        <w:r>
          <w:rPr>
            <w:noProof/>
            <w:webHidden/>
          </w:rPr>
          <w:fldChar w:fldCharType="begin"/>
        </w:r>
        <w:r>
          <w:rPr>
            <w:noProof/>
            <w:webHidden/>
          </w:rPr>
          <w:instrText xml:space="preserve"> PAGEREF _Toc482741416 \h </w:instrText>
        </w:r>
        <w:r>
          <w:rPr>
            <w:noProof/>
            <w:webHidden/>
          </w:rPr>
        </w:r>
        <w:r>
          <w:rPr>
            <w:noProof/>
            <w:webHidden/>
          </w:rPr>
          <w:fldChar w:fldCharType="separate"/>
        </w:r>
        <w:r>
          <w:rPr>
            <w:noProof/>
            <w:webHidden/>
          </w:rPr>
          <w:t>14</w:t>
        </w:r>
        <w:r>
          <w:rPr>
            <w:noProof/>
            <w:webHidden/>
          </w:rPr>
          <w:fldChar w:fldCharType="end"/>
        </w:r>
      </w:hyperlink>
    </w:p>
    <w:p w14:paraId="4E78F7B8" w14:textId="77777777" w:rsidR="004D456B" w:rsidRDefault="004D456B">
      <w:pPr>
        <w:pStyle w:val="TOC2"/>
        <w:rPr>
          <w:rFonts w:cstheme="minorBidi"/>
          <w:caps w:val="0"/>
          <w:color w:val="auto"/>
          <w:sz w:val="22"/>
          <w:szCs w:val="22"/>
          <w:lang w:val="fr-CA" w:eastAsia="zh-CN"/>
        </w:rPr>
      </w:pPr>
      <w:hyperlink w:anchor="_Toc482741417" w:history="1">
        <w:r w:rsidRPr="004B456A">
          <w:rPr>
            <w:rStyle w:val="Hyperlink"/>
          </w:rPr>
          <w:t>3.1 a PATCHWORK OF LAWS</w:t>
        </w:r>
        <w:r>
          <w:rPr>
            <w:webHidden/>
          </w:rPr>
          <w:tab/>
        </w:r>
        <w:r>
          <w:rPr>
            <w:webHidden/>
          </w:rPr>
          <w:fldChar w:fldCharType="begin"/>
        </w:r>
        <w:r>
          <w:rPr>
            <w:webHidden/>
          </w:rPr>
          <w:instrText xml:space="preserve"> PAGEREF _Toc482741417 \h </w:instrText>
        </w:r>
        <w:r>
          <w:rPr>
            <w:webHidden/>
          </w:rPr>
        </w:r>
        <w:r>
          <w:rPr>
            <w:webHidden/>
          </w:rPr>
          <w:fldChar w:fldCharType="separate"/>
        </w:r>
        <w:r>
          <w:rPr>
            <w:webHidden/>
          </w:rPr>
          <w:t>15</w:t>
        </w:r>
        <w:r>
          <w:rPr>
            <w:webHidden/>
          </w:rPr>
          <w:fldChar w:fldCharType="end"/>
        </w:r>
      </w:hyperlink>
    </w:p>
    <w:p w14:paraId="11C41E78" w14:textId="77777777" w:rsidR="004D456B" w:rsidRDefault="004D456B">
      <w:pPr>
        <w:pStyle w:val="TOC2"/>
        <w:rPr>
          <w:rFonts w:cstheme="minorBidi"/>
          <w:caps w:val="0"/>
          <w:color w:val="auto"/>
          <w:sz w:val="22"/>
          <w:szCs w:val="22"/>
          <w:lang w:val="fr-CA" w:eastAsia="zh-CN"/>
        </w:rPr>
      </w:pPr>
      <w:hyperlink w:anchor="_Toc482741418" w:history="1">
        <w:r w:rsidRPr="004B456A">
          <w:rPr>
            <w:rStyle w:val="Hyperlink"/>
          </w:rPr>
          <w:t>3.2 TYPES OF LAWS that crimINALIZE  PREGNANT WOMEN</w:t>
        </w:r>
        <w:r>
          <w:rPr>
            <w:webHidden/>
          </w:rPr>
          <w:tab/>
        </w:r>
        <w:r>
          <w:rPr>
            <w:webHidden/>
          </w:rPr>
          <w:fldChar w:fldCharType="begin"/>
        </w:r>
        <w:r>
          <w:rPr>
            <w:webHidden/>
          </w:rPr>
          <w:instrText xml:space="preserve"> PAGEREF _Toc482741418 \h </w:instrText>
        </w:r>
        <w:r>
          <w:rPr>
            <w:webHidden/>
          </w:rPr>
        </w:r>
        <w:r>
          <w:rPr>
            <w:webHidden/>
          </w:rPr>
          <w:fldChar w:fldCharType="separate"/>
        </w:r>
        <w:r>
          <w:rPr>
            <w:webHidden/>
          </w:rPr>
          <w:t>17</w:t>
        </w:r>
        <w:r>
          <w:rPr>
            <w:webHidden/>
          </w:rPr>
          <w:fldChar w:fldCharType="end"/>
        </w:r>
      </w:hyperlink>
    </w:p>
    <w:p w14:paraId="2BD1A628" w14:textId="77777777" w:rsidR="004D456B" w:rsidRDefault="004D456B">
      <w:pPr>
        <w:pStyle w:val="TOC3"/>
        <w:rPr>
          <w:rFonts w:asciiTheme="minorHAnsi" w:hAnsiTheme="minorHAnsi" w:cstheme="minorBidi"/>
          <w:caps w:val="0"/>
          <w:color w:val="auto"/>
          <w:sz w:val="22"/>
          <w:szCs w:val="22"/>
          <w:lang w:val="fr-CA" w:eastAsia="zh-CN"/>
        </w:rPr>
      </w:pPr>
      <w:hyperlink w:anchor="_Toc482741419" w:history="1">
        <w:r w:rsidRPr="004B456A">
          <w:rPr>
            <w:rStyle w:val="Hyperlink"/>
          </w:rPr>
          <w:t>3.2.1 “Fetal Personhood” Measures</w:t>
        </w:r>
        <w:r>
          <w:rPr>
            <w:webHidden/>
          </w:rPr>
          <w:tab/>
        </w:r>
        <w:r>
          <w:rPr>
            <w:webHidden/>
          </w:rPr>
          <w:fldChar w:fldCharType="begin"/>
        </w:r>
        <w:r>
          <w:rPr>
            <w:webHidden/>
          </w:rPr>
          <w:instrText xml:space="preserve"> PAGEREF _Toc482741419 \h </w:instrText>
        </w:r>
        <w:r>
          <w:rPr>
            <w:webHidden/>
          </w:rPr>
        </w:r>
        <w:r>
          <w:rPr>
            <w:webHidden/>
          </w:rPr>
          <w:fldChar w:fldCharType="separate"/>
        </w:r>
        <w:r>
          <w:rPr>
            <w:webHidden/>
          </w:rPr>
          <w:t>17</w:t>
        </w:r>
        <w:r>
          <w:rPr>
            <w:webHidden/>
          </w:rPr>
          <w:fldChar w:fldCharType="end"/>
        </w:r>
      </w:hyperlink>
    </w:p>
    <w:p w14:paraId="24E007BA" w14:textId="77777777" w:rsidR="004D456B" w:rsidRDefault="004D456B">
      <w:pPr>
        <w:pStyle w:val="TOC3"/>
        <w:rPr>
          <w:rFonts w:asciiTheme="minorHAnsi" w:hAnsiTheme="minorHAnsi" w:cstheme="minorBidi"/>
          <w:caps w:val="0"/>
          <w:color w:val="auto"/>
          <w:sz w:val="22"/>
          <w:szCs w:val="22"/>
          <w:lang w:val="fr-CA" w:eastAsia="zh-CN"/>
        </w:rPr>
      </w:pPr>
      <w:hyperlink w:anchor="_Toc482741420" w:history="1">
        <w:r w:rsidRPr="004B456A">
          <w:rPr>
            <w:rStyle w:val="Hyperlink"/>
          </w:rPr>
          <w:t>3.2.2 “FETAL ASSAULT” LAWS: DEFINING FETUSES AS VICTIMS OF CRIME</w:t>
        </w:r>
        <w:r>
          <w:rPr>
            <w:webHidden/>
          </w:rPr>
          <w:tab/>
        </w:r>
        <w:r>
          <w:rPr>
            <w:webHidden/>
          </w:rPr>
          <w:fldChar w:fldCharType="begin"/>
        </w:r>
        <w:r>
          <w:rPr>
            <w:webHidden/>
          </w:rPr>
          <w:instrText xml:space="preserve"> PAGEREF _Toc482741420 \h </w:instrText>
        </w:r>
        <w:r>
          <w:rPr>
            <w:webHidden/>
          </w:rPr>
        </w:r>
        <w:r>
          <w:rPr>
            <w:webHidden/>
          </w:rPr>
          <w:fldChar w:fldCharType="separate"/>
        </w:r>
        <w:r>
          <w:rPr>
            <w:webHidden/>
          </w:rPr>
          <w:t>17</w:t>
        </w:r>
        <w:r>
          <w:rPr>
            <w:webHidden/>
          </w:rPr>
          <w:fldChar w:fldCharType="end"/>
        </w:r>
      </w:hyperlink>
    </w:p>
    <w:p w14:paraId="41953114" w14:textId="77777777" w:rsidR="004D456B" w:rsidRDefault="004D456B">
      <w:pPr>
        <w:pStyle w:val="TOC3"/>
        <w:rPr>
          <w:rFonts w:asciiTheme="minorHAnsi" w:hAnsiTheme="minorHAnsi" w:cstheme="minorBidi"/>
          <w:caps w:val="0"/>
          <w:color w:val="auto"/>
          <w:sz w:val="22"/>
          <w:szCs w:val="22"/>
          <w:lang w:val="fr-CA" w:eastAsia="zh-CN"/>
        </w:rPr>
      </w:pPr>
      <w:hyperlink w:anchor="_Toc482741421" w:history="1">
        <w:r w:rsidRPr="004B456A">
          <w:rPr>
            <w:rStyle w:val="Hyperlink"/>
          </w:rPr>
          <w:t>3.2.3 Criminal Child Abuse Laws Applied to Fetuses</w:t>
        </w:r>
        <w:r>
          <w:rPr>
            <w:webHidden/>
          </w:rPr>
          <w:tab/>
        </w:r>
        <w:r>
          <w:rPr>
            <w:webHidden/>
          </w:rPr>
          <w:fldChar w:fldCharType="begin"/>
        </w:r>
        <w:r>
          <w:rPr>
            <w:webHidden/>
          </w:rPr>
          <w:instrText xml:space="preserve"> PAGEREF _Toc482741421 \h </w:instrText>
        </w:r>
        <w:r>
          <w:rPr>
            <w:webHidden/>
          </w:rPr>
        </w:r>
        <w:r>
          <w:rPr>
            <w:webHidden/>
          </w:rPr>
          <w:fldChar w:fldCharType="separate"/>
        </w:r>
        <w:r>
          <w:rPr>
            <w:webHidden/>
          </w:rPr>
          <w:t>19</w:t>
        </w:r>
        <w:r>
          <w:rPr>
            <w:webHidden/>
          </w:rPr>
          <w:fldChar w:fldCharType="end"/>
        </w:r>
      </w:hyperlink>
    </w:p>
    <w:p w14:paraId="1388A32F" w14:textId="77777777" w:rsidR="004D456B" w:rsidRDefault="004D456B">
      <w:pPr>
        <w:pStyle w:val="TOC3"/>
        <w:rPr>
          <w:rFonts w:asciiTheme="minorHAnsi" w:hAnsiTheme="minorHAnsi" w:cstheme="minorBidi"/>
          <w:caps w:val="0"/>
          <w:color w:val="auto"/>
          <w:sz w:val="22"/>
          <w:szCs w:val="22"/>
          <w:lang w:val="fr-CA" w:eastAsia="zh-CN"/>
        </w:rPr>
      </w:pPr>
      <w:hyperlink w:anchor="_Toc482741422" w:history="1">
        <w:r w:rsidRPr="004B456A">
          <w:rPr>
            <w:rStyle w:val="Hyperlink"/>
          </w:rPr>
          <w:t>3.2.4 Substance use During Pregnancy As Child Abuse</w:t>
        </w:r>
        <w:r>
          <w:rPr>
            <w:webHidden/>
          </w:rPr>
          <w:tab/>
        </w:r>
        <w:r>
          <w:rPr>
            <w:webHidden/>
          </w:rPr>
          <w:fldChar w:fldCharType="begin"/>
        </w:r>
        <w:r>
          <w:rPr>
            <w:webHidden/>
          </w:rPr>
          <w:instrText xml:space="preserve"> PAGEREF _Toc482741422 \h </w:instrText>
        </w:r>
        <w:r>
          <w:rPr>
            <w:webHidden/>
          </w:rPr>
        </w:r>
        <w:r>
          <w:rPr>
            <w:webHidden/>
          </w:rPr>
          <w:fldChar w:fldCharType="separate"/>
        </w:r>
        <w:r>
          <w:rPr>
            <w:webHidden/>
          </w:rPr>
          <w:t>19</w:t>
        </w:r>
        <w:r>
          <w:rPr>
            <w:webHidden/>
          </w:rPr>
          <w:fldChar w:fldCharType="end"/>
        </w:r>
      </w:hyperlink>
    </w:p>
    <w:p w14:paraId="7BE91085" w14:textId="77777777" w:rsidR="004D456B" w:rsidRDefault="004D456B">
      <w:pPr>
        <w:pStyle w:val="TOC3"/>
        <w:rPr>
          <w:rFonts w:asciiTheme="minorHAnsi" w:hAnsiTheme="minorHAnsi" w:cstheme="minorBidi"/>
          <w:caps w:val="0"/>
          <w:color w:val="auto"/>
          <w:sz w:val="22"/>
          <w:szCs w:val="22"/>
          <w:lang w:val="fr-CA" w:eastAsia="zh-CN"/>
        </w:rPr>
      </w:pPr>
      <w:hyperlink w:anchor="_Toc482741423" w:history="1">
        <w:r w:rsidRPr="004B456A">
          <w:rPr>
            <w:rStyle w:val="Hyperlink"/>
          </w:rPr>
          <w:t>3.2.5 Civil Commitment Laws</w:t>
        </w:r>
        <w:r>
          <w:rPr>
            <w:webHidden/>
          </w:rPr>
          <w:tab/>
        </w:r>
        <w:r>
          <w:rPr>
            <w:webHidden/>
          </w:rPr>
          <w:fldChar w:fldCharType="begin"/>
        </w:r>
        <w:r>
          <w:rPr>
            <w:webHidden/>
          </w:rPr>
          <w:instrText xml:space="preserve"> PAGEREF _Toc482741423 \h </w:instrText>
        </w:r>
        <w:r>
          <w:rPr>
            <w:webHidden/>
          </w:rPr>
        </w:r>
        <w:r>
          <w:rPr>
            <w:webHidden/>
          </w:rPr>
          <w:fldChar w:fldCharType="separate"/>
        </w:r>
        <w:r>
          <w:rPr>
            <w:webHidden/>
          </w:rPr>
          <w:t>21</w:t>
        </w:r>
        <w:r>
          <w:rPr>
            <w:webHidden/>
          </w:rPr>
          <w:fldChar w:fldCharType="end"/>
        </w:r>
      </w:hyperlink>
    </w:p>
    <w:p w14:paraId="372BC557" w14:textId="77777777" w:rsidR="004D456B" w:rsidRDefault="004D456B">
      <w:pPr>
        <w:pStyle w:val="TOC2"/>
        <w:rPr>
          <w:rFonts w:cstheme="minorBidi"/>
          <w:caps w:val="0"/>
          <w:color w:val="auto"/>
          <w:sz w:val="22"/>
          <w:szCs w:val="22"/>
          <w:lang w:val="fr-CA" w:eastAsia="zh-CN"/>
        </w:rPr>
      </w:pPr>
      <w:hyperlink w:anchor="_Toc482741424" w:history="1">
        <w:r w:rsidRPr="004B456A">
          <w:rPr>
            <w:rStyle w:val="Hyperlink"/>
          </w:rPr>
          <w:t>3.3 FORCES DRIVING CRIMINALIZATION OF PREGNANCY</w:t>
        </w:r>
        <w:r>
          <w:rPr>
            <w:webHidden/>
          </w:rPr>
          <w:tab/>
        </w:r>
        <w:r>
          <w:rPr>
            <w:webHidden/>
          </w:rPr>
          <w:fldChar w:fldCharType="begin"/>
        </w:r>
        <w:r>
          <w:rPr>
            <w:webHidden/>
          </w:rPr>
          <w:instrText xml:space="preserve"> PAGEREF _Toc482741424 \h </w:instrText>
        </w:r>
        <w:r>
          <w:rPr>
            <w:webHidden/>
          </w:rPr>
        </w:r>
        <w:r>
          <w:rPr>
            <w:webHidden/>
          </w:rPr>
          <w:fldChar w:fldCharType="separate"/>
        </w:r>
        <w:r>
          <w:rPr>
            <w:webHidden/>
          </w:rPr>
          <w:t>22</w:t>
        </w:r>
        <w:r>
          <w:rPr>
            <w:webHidden/>
          </w:rPr>
          <w:fldChar w:fldCharType="end"/>
        </w:r>
      </w:hyperlink>
    </w:p>
    <w:p w14:paraId="253E5A39" w14:textId="77777777" w:rsidR="004D456B" w:rsidRDefault="004D456B">
      <w:pPr>
        <w:pStyle w:val="TOC3"/>
        <w:rPr>
          <w:rFonts w:asciiTheme="minorHAnsi" w:hAnsiTheme="minorHAnsi" w:cstheme="minorBidi"/>
          <w:caps w:val="0"/>
          <w:color w:val="auto"/>
          <w:sz w:val="22"/>
          <w:szCs w:val="22"/>
          <w:lang w:val="fr-CA" w:eastAsia="zh-CN"/>
        </w:rPr>
      </w:pPr>
      <w:hyperlink w:anchor="_Toc482741425" w:history="1">
        <w:r w:rsidRPr="004B456A">
          <w:rPr>
            <w:rStyle w:val="Hyperlink"/>
          </w:rPr>
          <w:t>3.3.1 a history of racial discrimination in policing reproduction</w:t>
        </w:r>
        <w:r>
          <w:rPr>
            <w:webHidden/>
          </w:rPr>
          <w:tab/>
        </w:r>
        <w:r>
          <w:rPr>
            <w:webHidden/>
          </w:rPr>
          <w:fldChar w:fldCharType="begin"/>
        </w:r>
        <w:r>
          <w:rPr>
            <w:webHidden/>
          </w:rPr>
          <w:instrText xml:space="preserve"> PAGEREF _Toc482741425 \h </w:instrText>
        </w:r>
        <w:r>
          <w:rPr>
            <w:webHidden/>
          </w:rPr>
        </w:r>
        <w:r>
          <w:rPr>
            <w:webHidden/>
          </w:rPr>
          <w:fldChar w:fldCharType="separate"/>
        </w:r>
        <w:r>
          <w:rPr>
            <w:webHidden/>
          </w:rPr>
          <w:t>22</w:t>
        </w:r>
        <w:r>
          <w:rPr>
            <w:webHidden/>
          </w:rPr>
          <w:fldChar w:fldCharType="end"/>
        </w:r>
      </w:hyperlink>
    </w:p>
    <w:p w14:paraId="6417F859" w14:textId="77777777" w:rsidR="004D456B" w:rsidRDefault="004D456B">
      <w:pPr>
        <w:pStyle w:val="TOC3"/>
        <w:rPr>
          <w:rFonts w:asciiTheme="minorHAnsi" w:hAnsiTheme="minorHAnsi" w:cstheme="minorBidi"/>
          <w:caps w:val="0"/>
          <w:color w:val="auto"/>
          <w:sz w:val="22"/>
          <w:szCs w:val="22"/>
          <w:lang w:val="fr-CA" w:eastAsia="zh-CN"/>
        </w:rPr>
      </w:pPr>
      <w:hyperlink w:anchor="_Toc482741426" w:history="1">
        <w:r w:rsidRPr="004B456A">
          <w:rPr>
            <w:rStyle w:val="Hyperlink"/>
          </w:rPr>
          <w:t>3.3.2 The Erosion of Sexual and Reproductive Rights</w:t>
        </w:r>
        <w:r>
          <w:rPr>
            <w:webHidden/>
          </w:rPr>
          <w:tab/>
        </w:r>
        <w:r>
          <w:rPr>
            <w:webHidden/>
          </w:rPr>
          <w:fldChar w:fldCharType="begin"/>
        </w:r>
        <w:r>
          <w:rPr>
            <w:webHidden/>
          </w:rPr>
          <w:instrText xml:space="preserve"> PAGEREF _Toc482741426 \h </w:instrText>
        </w:r>
        <w:r>
          <w:rPr>
            <w:webHidden/>
          </w:rPr>
        </w:r>
        <w:r>
          <w:rPr>
            <w:webHidden/>
          </w:rPr>
          <w:fldChar w:fldCharType="separate"/>
        </w:r>
        <w:r>
          <w:rPr>
            <w:webHidden/>
          </w:rPr>
          <w:t>23</w:t>
        </w:r>
        <w:r>
          <w:rPr>
            <w:webHidden/>
          </w:rPr>
          <w:fldChar w:fldCharType="end"/>
        </w:r>
      </w:hyperlink>
    </w:p>
    <w:p w14:paraId="069F5EA7" w14:textId="77777777" w:rsidR="004D456B" w:rsidRDefault="004D456B">
      <w:pPr>
        <w:pStyle w:val="TOC3"/>
        <w:rPr>
          <w:rFonts w:asciiTheme="minorHAnsi" w:hAnsiTheme="minorHAnsi" w:cstheme="minorBidi"/>
          <w:caps w:val="0"/>
          <w:color w:val="auto"/>
          <w:sz w:val="22"/>
          <w:szCs w:val="22"/>
          <w:lang w:val="fr-CA" w:eastAsia="zh-CN"/>
        </w:rPr>
      </w:pPr>
      <w:hyperlink w:anchor="_Toc482741427" w:history="1">
        <w:r w:rsidRPr="004B456A">
          <w:rPr>
            <w:rStyle w:val="Hyperlink"/>
          </w:rPr>
          <w:t>3.3.3 Health Disparities and Discrimination in  Maternal Healthcare</w:t>
        </w:r>
        <w:r>
          <w:rPr>
            <w:webHidden/>
          </w:rPr>
          <w:tab/>
        </w:r>
        <w:r>
          <w:rPr>
            <w:webHidden/>
          </w:rPr>
          <w:fldChar w:fldCharType="begin"/>
        </w:r>
        <w:r>
          <w:rPr>
            <w:webHidden/>
          </w:rPr>
          <w:instrText xml:space="preserve"> PAGEREF _Toc482741427 \h </w:instrText>
        </w:r>
        <w:r>
          <w:rPr>
            <w:webHidden/>
          </w:rPr>
        </w:r>
        <w:r>
          <w:rPr>
            <w:webHidden/>
          </w:rPr>
          <w:fldChar w:fldCharType="separate"/>
        </w:r>
        <w:r>
          <w:rPr>
            <w:webHidden/>
          </w:rPr>
          <w:t>23</w:t>
        </w:r>
        <w:r>
          <w:rPr>
            <w:webHidden/>
          </w:rPr>
          <w:fldChar w:fldCharType="end"/>
        </w:r>
      </w:hyperlink>
    </w:p>
    <w:p w14:paraId="2AFEEADC" w14:textId="77777777" w:rsidR="004D456B" w:rsidRDefault="004D456B">
      <w:pPr>
        <w:pStyle w:val="TOC3"/>
        <w:rPr>
          <w:rFonts w:asciiTheme="minorHAnsi" w:hAnsiTheme="minorHAnsi" w:cstheme="minorBidi"/>
          <w:caps w:val="0"/>
          <w:color w:val="auto"/>
          <w:sz w:val="22"/>
          <w:szCs w:val="22"/>
          <w:lang w:val="fr-CA" w:eastAsia="zh-CN"/>
        </w:rPr>
      </w:pPr>
      <w:hyperlink w:anchor="_Toc482741428" w:history="1">
        <w:r w:rsidRPr="004B456A">
          <w:rPr>
            <w:rStyle w:val="Hyperlink"/>
          </w:rPr>
          <w:t>3.3.4 Punitive Drug Control Policies: An emphasis on criminal punishment over public health</w:t>
        </w:r>
        <w:r>
          <w:rPr>
            <w:webHidden/>
          </w:rPr>
          <w:tab/>
        </w:r>
        <w:r>
          <w:rPr>
            <w:webHidden/>
          </w:rPr>
          <w:fldChar w:fldCharType="begin"/>
        </w:r>
        <w:r>
          <w:rPr>
            <w:webHidden/>
          </w:rPr>
          <w:instrText xml:space="preserve"> PAGEREF _Toc482741428 \h </w:instrText>
        </w:r>
        <w:r>
          <w:rPr>
            <w:webHidden/>
          </w:rPr>
        </w:r>
        <w:r>
          <w:rPr>
            <w:webHidden/>
          </w:rPr>
          <w:fldChar w:fldCharType="separate"/>
        </w:r>
        <w:r>
          <w:rPr>
            <w:webHidden/>
          </w:rPr>
          <w:t>25</w:t>
        </w:r>
        <w:r>
          <w:rPr>
            <w:webHidden/>
          </w:rPr>
          <w:fldChar w:fldCharType="end"/>
        </w:r>
      </w:hyperlink>
    </w:p>
    <w:p w14:paraId="1084CA9F" w14:textId="77777777" w:rsidR="004D456B" w:rsidRDefault="004D456B">
      <w:pPr>
        <w:pStyle w:val="TOC1"/>
        <w:rPr>
          <w:rFonts w:asciiTheme="minorHAnsi" w:hAnsiTheme="minorHAnsi" w:cstheme="minorBidi"/>
          <w:b w:val="0"/>
          <w:bCs w:val="0"/>
          <w:caps w:val="0"/>
          <w:noProof/>
          <w:color w:val="auto"/>
          <w:lang w:val="fr-CA" w:eastAsia="zh-CN"/>
        </w:rPr>
      </w:pPr>
      <w:hyperlink w:anchor="_Toc482741429" w:history="1">
        <w:r w:rsidRPr="004B456A">
          <w:rPr>
            <w:rStyle w:val="Hyperlink"/>
            <w:noProof/>
          </w:rPr>
          <w:t>4. tennessee “fetal assAult Law”</w:t>
        </w:r>
        <w:r>
          <w:rPr>
            <w:noProof/>
            <w:webHidden/>
          </w:rPr>
          <w:tab/>
        </w:r>
        <w:r>
          <w:rPr>
            <w:noProof/>
            <w:webHidden/>
          </w:rPr>
          <w:fldChar w:fldCharType="begin"/>
        </w:r>
        <w:r>
          <w:rPr>
            <w:noProof/>
            <w:webHidden/>
          </w:rPr>
          <w:instrText xml:space="preserve"> PAGEREF _Toc482741429 \h </w:instrText>
        </w:r>
        <w:r>
          <w:rPr>
            <w:noProof/>
            <w:webHidden/>
          </w:rPr>
        </w:r>
        <w:r>
          <w:rPr>
            <w:noProof/>
            <w:webHidden/>
          </w:rPr>
          <w:fldChar w:fldCharType="separate"/>
        </w:r>
        <w:r>
          <w:rPr>
            <w:noProof/>
            <w:webHidden/>
          </w:rPr>
          <w:t>27</w:t>
        </w:r>
        <w:r>
          <w:rPr>
            <w:noProof/>
            <w:webHidden/>
          </w:rPr>
          <w:fldChar w:fldCharType="end"/>
        </w:r>
      </w:hyperlink>
    </w:p>
    <w:p w14:paraId="515E014A" w14:textId="77777777" w:rsidR="004D456B" w:rsidRDefault="004D456B">
      <w:pPr>
        <w:pStyle w:val="TOC2"/>
        <w:rPr>
          <w:rFonts w:cstheme="minorBidi"/>
          <w:caps w:val="0"/>
          <w:color w:val="auto"/>
          <w:sz w:val="22"/>
          <w:szCs w:val="22"/>
          <w:lang w:val="fr-CA" w:eastAsia="zh-CN"/>
        </w:rPr>
      </w:pPr>
      <w:hyperlink w:anchor="_Toc482741430" w:history="1">
        <w:r w:rsidRPr="004B456A">
          <w:rPr>
            <w:rStyle w:val="Hyperlink"/>
          </w:rPr>
          <w:t>4.1 TRACKING THE IMPACT OF THE LAW</w:t>
        </w:r>
        <w:r>
          <w:rPr>
            <w:webHidden/>
          </w:rPr>
          <w:tab/>
        </w:r>
        <w:r>
          <w:rPr>
            <w:webHidden/>
          </w:rPr>
          <w:fldChar w:fldCharType="begin"/>
        </w:r>
        <w:r>
          <w:rPr>
            <w:webHidden/>
          </w:rPr>
          <w:instrText xml:space="preserve"> PAGEREF _Toc482741430 \h </w:instrText>
        </w:r>
        <w:r>
          <w:rPr>
            <w:webHidden/>
          </w:rPr>
        </w:r>
        <w:r>
          <w:rPr>
            <w:webHidden/>
          </w:rPr>
          <w:fldChar w:fldCharType="separate"/>
        </w:r>
        <w:r>
          <w:rPr>
            <w:webHidden/>
          </w:rPr>
          <w:t>28</w:t>
        </w:r>
        <w:r>
          <w:rPr>
            <w:webHidden/>
          </w:rPr>
          <w:fldChar w:fldCharType="end"/>
        </w:r>
      </w:hyperlink>
    </w:p>
    <w:p w14:paraId="1E645152" w14:textId="77777777" w:rsidR="004D456B" w:rsidRDefault="004D456B">
      <w:pPr>
        <w:pStyle w:val="TOC3"/>
        <w:rPr>
          <w:rFonts w:asciiTheme="minorHAnsi" w:hAnsiTheme="minorHAnsi" w:cstheme="minorBidi"/>
          <w:caps w:val="0"/>
          <w:color w:val="auto"/>
          <w:sz w:val="22"/>
          <w:szCs w:val="22"/>
          <w:lang w:val="fr-CA" w:eastAsia="zh-CN"/>
        </w:rPr>
      </w:pPr>
      <w:hyperlink w:anchor="_Toc482741431" w:history="1">
        <w:r w:rsidRPr="004B456A">
          <w:rPr>
            <w:rStyle w:val="Hyperlink"/>
          </w:rPr>
          <w:t>4.1.1 DISCRIMINATORY APPLICATION OF THE LAW</w:t>
        </w:r>
        <w:r>
          <w:rPr>
            <w:webHidden/>
          </w:rPr>
          <w:tab/>
        </w:r>
        <w:r>
          <w:rPr>
            <w:webHidden/>
          </w:rPr>
          <w:fldChar w:fldCharType="begin"/>
        </w:r>
        <w:r>
          <w:rPr>
            <w:webHidden/>
          </w:rPr>
          <w:instrText xml:space="preserve"> PAGEREF _Toc482741431 \h </w:instrText>
        </w:r>
        <w:r>
          <w:rPr>
            <w:webHidden/>
          </w:rPr>
        </w:r>
        <w:r>
          <w:rPr>
            <w:webHidden/>
          </w:rPr>
          <w:fldChar w:fldCharType="separate"/>
        </w:r>
        <w:r>
          <w:rPr>
            <w:webHidden/>
          </w:rPr>
          <w:t>28</w:t>
        </w:r>
        <w:r>
          <w:rPr>
            <w:webHidden/>
          </w:rPr>
          <w:fldChar w:fldCharType="end"/>
        </w:r>
      </w:hyperlink>
    </w:p>
    <w:p w14:paraId="09907DAD" w14:textId="77777777" w:rsidR="004D456B" w:rsidRDefault="004D456B">
      <w:pPr>
        <w:pStyle w:val="TOC2"/>
        <w:rPr>
          <w:rFonts w:cstheme="minorBidi"/>
          <w:caps w:val="0"/>
          <w:color w:val="auto"/>
          <w:sz w:val="22"/>
          <w:szCs w:val="22"/>
          <w:lang w:val="fr-CA" w:eastAsia="zh-CN"/>
        </w:rPr>
      </w:pPr>
      <w:hyperlink w:anchor="_Toc482741432" w:history="1">
        <w:r w:rsidRPr="004B456A">
          <w:rPr>
            <w:rStyle w:val="Hyperlink"/>
          </w:rPr>
          <w:t>4.2 LACK OF ACCESS TO DRUG TREATMENT</w:t>
        </w:r>
        <w:r>
          <w:rPr>
            <w:webHidden/>
          </w:rPr>
          <w:tab/>
        </w:r>
        <w:r>
          <w:rPr>
            <w:webHidden/>
          </w:rPr>
          <w:fldChar w:fldCharType="begin"/>
        </w:r>
        <w:r>
          <w:rPr>
            <w:webHidden/>
          </w:rPr>
          <w:instrText xml:space="preserve"> PAGEREF _Toc482741432 \h </w:instrText>
        </w:r>
        <w:r>
          <w:rPr>
            <w:webHidden/>
          </w:rPr>
        </w:r>
        <w:r>
          <w:rPr>
            <w:webHidden/>
          </w:rPr>
          <w:fldChar w:fldCharType="separate"/>
        </w:r>
        <w:r>
          <w:rPr>
            <w:webHidden/>
          </w:rPr>
          <w:t>30</w:t>
        </w:r>
        <w:r>
          <w:rPr>
            <w:webHidden/>
          </w:rPr>
          <w:fldChar w:fldCharType="end"/>
        </w:r>
      </w:hyperlink>
    </w:p>
    <w:p w14:paraId="073202E2" w14:textId="77777777" w:rsidR="004D456B" w:rsidRDefault="004D456B">
      <w:pPr>
        <w:pStyle w:val="TOC2"/>
        <w:rPr>
          <w:rFonts w:cstheme="minorBidi"/>
          <w:caps w:val="0"/>
          <w:color w:val="auto"/>
          <w:sz w:val="22"/>
          <w:szCs w:val="22"/>
          <w:lang w:val="fr-CA" w:eastAsia="zh-CN"/>
        </w:rPr>
      </w:pPr>
      <w:hyperlink w:anchor="_Toc482741433" w:history="1">
        <w:r w:rsidRPr="004B456A">
          <w:rPr>
            <w:rStyle w:val="Hyperlink"/>
          </w:rPr>
          <w:t>4.3 when Criminal justice and  healthcare converge</w:t>
        </w:r>
        <w:r>
          <w:rPr>
            <w:webHidden/>
          </w:rPr>
          <w:tab/>
        </w:r>
        <w:r>
          <w:rPr>
            <w:webHidden/>
          </w:rPr>
          <w:fldChar w:fldCharType="begin"/>
        </w:r>
        <w:r>
          <w:rPr>
            <w:webHidden/>
          </w:rPr>
          <w:instrText xml:space="preserve"> PAGEREF _Toc482741433 \h </w:instrText>
        </w:r>
        <w:r>
          <w:rPr>
            <w:webHidden/>
          </w:rPr>
        </w:r>
        <w:r>
          <w:rPr>
            <w:webHidden/>
          </w:rPr>
          <w:fldChar w:fldCharType="separate"/>
        </w:r>
        <w:r>
          <w:rPr>
            <w:webHidden/>
          </w:rPr>
          <w:t>31</w:t>
        </w:r>
        <w:r>
          <w:rPr>
            <w:webHidden/>
          </w:rPr>
          <w:fldChar w:fldCharType="end"/>
        </w:r>
      </w:hyperlink>
    </w:p>
    <w:p w14:paraId="24A551F3" w14:textId="77777777" w:rsidR="004D456B" w:rsidRDefault="004D456B">
      <w:pPr>
        <w:pStyle w:val="TOC2"/>
        <w:rPr>
          <w:rFonts w:cstheme="minorBidi"/>
          <w:caps w:val="0"/>
          <w:color w:val="auto"/>
          <w:sz w:val="22"/>
          <w:szCs w:val="22"/>
          <w:lang w:val="fr-CA" w:eastAsia="zh-CN"/>
        </w:rPr>
      </w:pPr>
      <w:hyperlink w:anchor="_Toc482741434" w:history="1">
        <w:r w:rsidRPr="004B456A">
          <w:rPr>
            <w:rStyle w:val="Hyperlink"/>
          </w:rPr>
          <w:t>4.4 Deterrence from prenatal care</w:t>
        </w:r>
        <w:r>
          <w:rPr>
            <w:webHidden/>
          </w:rPr>
          <w:tab/>
        </w:r>
        <w:r>
          <w:rPr>
            <w:webHidden/>
          </w:rPr>
          <w:fldChar w:fldCharType="begin"/>
        </w:r>
        <w:r>
          <w:rPr>
            <w:webHidden/>
          </w:rPr>
          <w:instrText xml:space="preserve"> PAGEREF _Toc482741434 \h </w:instrText>
        </w:r>
        <w:r>
          <w:rPr>
            <w:webHidden/>
          </w:rPr>
        </w:r>
        <w:r>
          <w:rPr>
            <w:webHidden/>
          </w:rPr>
          <w:fldChar w:fldCharType="separate"/>
        </w:r>
        <w:r>
          <w:rPr>
            <w:webHidden/>
          </w:rPr>
          <w:t>34</w:t>
        </w:r>
        <w:r>
          <w:rPr>
            <w:webHidden/>
          </w:rPr>
          <w:fldChar w:fldCharType="end"/>
        </w:r>
      </w:hyperlink>
    </w:p>
    <w:p w14:paraId="75459371" w14:textId="77777777" w:rsidR="004D456B" w:rsidRDefault="004D456B">
      <w:pPr>
        <w:pStyle w:val="TOC2"/>
        <w:rPr>
          <w:rFonts w:cstheme="minorBidi"/>
          <w:caps w:val="0"/>
          <w:color w:val="auto"/>
          <w:sz w:val="22"/>
          <w:szCs w:val="22"/>
          <w:lang w:val="fr-CA" w:eastAsia="zh-CN"/>
        </w:rPr>
      </w:pPr>
      <w:hyperlink w:anchor="_Toc482741435" w:history="1">
        <w:r w:rsidRPr="004B456A">
          <w:rPr>
            <w:rStyle w:val="Hyperlink"/>
          </w:rPr>
          <w:t>4.5 Drug testing in healthcare settings</w:t>
        </w:r>
        <w:r>
          <w:rPr>
            <w:webHidden/>
          </w:rPr>
          <w:tab/>
        </w:r>
        <w:r>
          <w:rPr>
            <w:webHidden/>
          </w:rPr>
          <w:fldChar w:fldCharType="begin"/>
        </w:r>
        <w:r>
          <w:rPr>
            <w:webHidden/>
          </w:rPr>
          <w:instrText xml:space="preserve"> PAGEREF _Toc482741435 \h </w:instrText>
        </w:r>
        <w:r>
          <w:rPr>
            <w:webHidden/>
          </w:rPr>
        </w:r>
        <w:r>
          <w:rPr>
            <w:webHidden/>
          </w:rPr>
          <w:fldChar w:fldCharType="separate"/>
        </w:r>
        <w:r>
          <w:rPr>
            <w:webHidden/>
          </w:rPr>
          <w:t>35</w:t>
        </w:r>
        <w:r>
          <w:rPr>
            <w:webHidden/>
          </w:rPr>
          <w:fldChar w:fldCharType="end"/>
        </w:r>
      </w:hyperlink>
    </w:p>
    <w:p w14:paraId="093650C9" w14:textId="77777777" w:rsidR="004D456B" w:rsidRDefault="004D456B">
      <w:pPr>
        <w:pStyle w:val="TOC1"/>
        <w:rPr>
          <w:rFonts w:asciiTheme="minorHAnsi" w:hAnsiTheme="minorHAnsi" w:cstheme="minorBidi"/>
          <w:b w:val="0"/>
          <w:bCs w:val="0"/>
          <w:caps w:val="0"/>
          <w:noProof/>
          <w:color w:val="auto"/>
          <w:lang w:val="fr-CA" w:eastAsia="zh-CN"/>
        </w:rPr>
      </w:pPr>
      <w:hyperlink w:anchor="_Toc482741436" w:history="1">
        <w:r w:rsidRPr="004B456A">
          <w:rPr>
            <w:rStyle w:val="Hyperlink"/>
            <w:noProof/>
          </w:rPr>
          <w:t>5. alabama “chemical endangerment” law</w:t>
        </w:r>
        <w:r>
          <w:rPr>
            <w:noProof/>
            <w:webHidden/>
          </w:rPr>
          <w:tab/>
        </w:r>
        <w:r>
          <w:rPr>
            <w:noProof/>
            <w:webHidden/>
          </w:rPr>
          <w:fldChar w:fldCharType="begin"/>
        </w:r>
        <w:r>
          <w:rPr>
            <w:noProof/>
            <w:webHidden/>
          </w:rPr>
          <w:instrText xml:space="preserve"> PAGEREF _Toc482741436 \h </w:instrText>
        </w:r>
        <w:r>
          <w:rPr>
            <w:noProof/>
            <w:webHidden/>
          </w:rPr>
        </w:r>
        <w:r>
          <w:rPr>
            <w:noProof/>
            <w:webHidden/>
          </w:rPr>
          <w:fldChar w:fldCharType="separate"/>
        </w:r>
        <w:r>
          <w:rPr>
            <w:noProof/>
            <w:webHidden/>
          </w:rPr>
          <w:t>36</w:t>
        </w:r>
        <w:r>
          <w:rPr>
            <w:noProof/>
            <w:webHidden/>
          </w:rPr>
          <w:fldChar w:fldCharType="end"/>
        </w:r>
      </w:hyperlink>
    </w:p>
    <w:p w14:paraId="03C5F6BB" w14:textId="77777777" w:rsidR="004D456B" w:rsidRDefault="004D456B">
      <w:pPr>
        <w:pStyle w:val="TOC2"/>
        <w:rPr>
          <w:rFonts w:cstheme="minorBidi"/>
          <w:caps w:val="0"/>
          <w:color w:val="auto"/>
          <w:sz w:val="22"/>
          <w:szCs w:val="22"/>
          <w:lang w:val="fr-CA" w:eastAsia="zh-CN"/>
        </w:rPr>
      </w:pPr>
      <w:hyperlink w:anchor="_Toc482741437" w:history="1">
        <w:r w:rsidRPr="004B456A">
          <w:rPr>
            <w:rStyle w:val="Hyperlink"/>
          </w:rPr>
          <w:t>5.1 Application of the law</w:t>
        </w:r>
        <w:r>
          <w:rPr>
            <w:webHidden/>
          </w:rPr>
          <w:tab/>
        </w:r>
        <w:r>
          <w:rPr>
            <w:webHidden/>
          </w:rPr>
          <w:fldChar w:fldCharType="begin"/>
        </w:r>
        <w:r>
          <w:rPr>
            <w:webHidden/>
          </w:rPr>
          <w:instrText xml:space="preserve"> PAGEREF _Toc482741437 \h </w:instrText>
        </w:r>
        <w:r>
          <w:rPr>
            <w:webHidden/>
          </w:rPr>
        </w:r>
        <w:r>
          <w:rPr>
            <w:webHidden/>
          </w:rPr>
          <w:fldChar w:fldCharType="separate"/>
        </w:r>
        <w:r>
          <w:rPr>
            <w:webHidden/>
          </w:rPr>
          <w:t>37</w:t>
        </w:r>
        <w:r>
          <w:rPr>
            <w:webHidden/>
          </w:rPr>
          <w:fldChar w:fldCharType="end"/>
        </w:r>
      </w:hyperlink>
    </w:p>
    <w:p w14:paraId="5C9710E4" w14:textId="77777777" w:rsidR="004D456B" w:rsidRDefault="004D456B">
      <w:pPr>
        <w:pStyle w:val="TOC2"/>
        <w:rPr>
          <w:rFonts w:cstheme="minorBidi"/>
          <w:caps w:val="0"/>
          <w:color w:val="auto"/>
          <w:sz w:val="22"/>
          <w:szCs w:val="22"/>
          <w:lang w:val="fr-CA" w:eastAsia="zh-CN"/>
        </w:rPr>
      </w:pPr>
      <w:hyperlink w:anchor="_Toc482741438" w:history="1">
        <w:r w:rsidRPr="004B456A">
          <w:rPr>
            <w:rStyle w:val="Hyperlink"/>
          </w:rPr>
          <w:t>5.2 WHEN CRIMINAL JUSTICE, CHILD WELFARE AND HEALTHCARE converge</w:t>
        </w:r>
        <w:r>
          <w:rPr>
            <w:webHidden/>
          </w:rPr>
          <w:tab/>
        </w:r>
        <w:r>
          <w:rPr>
            <w:webHidden/>
          </w:rPr>
          <w:fldChar w:fldCharType="begin"/>
        </w:r>
        <w:r>
          <w:rPr>
            <w:webHidden/>
          </w:rPr>
          <w:instrText xml:space="preserve"> PAGEREF _Toc482741438 \h </w:instrText>
        </w:r>
        <w:r>
          <w:rPr>
            <w:webHidden/>
          </w:rPr>
        </w:r>
        <w:r>
          <w:rPr>
            <w:webHidden/>
          </w:rPr>
          <w:fldChar w:fldCharType="separate"/>
        </w:r>
        <w:r>
          <w:rPr>
            <w:webHidden/>
          </w:rPr>
          <w:t>38</w:t>
        </w:r>
        <w:r>
          <w:rPr>
            <w:webHidden/>
          </w:rPr>
          <w:fldChar w:fldCharType="end"/>
        </w:r>
      </w:hyperlink>
    </w:p>
    <w:p w14:paraId="2A6FD412" w14:textId="77777777" w:rsidR="004D456B" w:rsidRDefault="004D456B">
      <w:pPr>
        <w:pStyle w:val="TOC2"/>
        <w:rPr>
          <w:rFonts w:cstheme="minorBidi"/>
          <w:caps w:val="0"/>
          <w:color w:val="auto"/>
          <w:sz w:val="22"/>
          <w:szCs w:val="22"/>
          <w:lang w:val="fr-CA" w:eastAsia="zh-CN"/>
        </w:rPr>
      </w:pPr>
      <w:hyperlink w:anchor="_Toc482741439" w:history="1">
        <w:r w:rsidRPr="004B456A">
          <w:rPr>
            <w:rStyle w:val="Hyperlink"/>
          </w:rPr>
          <w:t>5.3 Drug Testing and Arrests</w:t>
        </w:r>
        <w:r>
          <w:rPr>
            <w:webHidden/>
          </w:rPr>
          <w:tab/>
        </w:r>
        <w:r>
          <w:rPr>
            <w:webHidden/>
          </w:rPr>
          <w:fldChar w:fldCharType="begin"/>
        </w:r>
        <w:r>
          <w:rPr>
            <w:webHidden/>
          </w:rPr>
          <w:instrText xml:space="preserve"> PAGEREF _Toc482741439 \h </w:instrText>
        </w:r>
        <w:r>
          <w:rPr>
            <w:webHidden/>
          </w:rPr>
        </w:r>
        <w:r>
          <w:rPr>
            <w:webHidden/>
          </w:rPr>
          <w:fldChar w:fldCharType="separate"/>
        </w:r>
        <w:r>
          <w:rPr>
            <w:webHidden/>
          </w:rPr>
          <w:t>39</w:t>
        </w:r>
        <w:r>
          <w:rPr>
            <w:webHidden/>
          </w:rPr>
          <w:fldChar w:fldCharType="end"/>
        </w:r>
      </w:hyperlink>
    </w:p>
    <w:p w14:paraId="1F2776D4" w14:textId="77777777" w:rsidR="004D456B" w:rsidRDefault="004D456B">
      <w:pPr>
        <w:pStyle w:val="TOC2"/>
        <w:rPr>
          <w:rFonts w:cstheme="minorBidi"/>
          <w:caps w:val="0"/>
          <w:color w:val="auto"/>
          <w:sz w:val="22"/>
          <w:szCs w:val="22"/>
          <w:lang w:val="fr-CA" w:eastAsia="zh-CN"/>
        </w:rPr>
      </w:pPr>
      <w:hyperlink w:anchor="_Toc482741440" w:history="1">
        <w:r w:rsidRPr="004B456A">
          <w:rPr>
            <w:rStyle w:val="Hyperlink"/>
          </w:rPr>
          <w:t>5.4 discriminatory drug testing</w:t>
        </w:r>
        <w:r>
          <w:rPr>
            <w:webHidden/>
          </w:rPr>
          <w:tab/>
        </w:r>
        <w:r>
          <w:rPr>
            <w:webHidden/>
          </w:rPr>
          <w:fldChar w:fldCharType="begin"/>
        </w:r>
        <w:r>
          <w:rPr>
            <w:webHidden/>
          </w:rPr>
          <w:instrText xml:space="preserve"> PAGEREF _Toc482741440 \h </w:instrText>
        </w:r>
        <w:r>
          <w:rPr>
            <w:webHidden/>
          </w:rPr>
        </w:r>
        <w:r>
          <w:rPr>
            <w:webHidden/>
          </w:rPr>
          <w:fldChar w:fldCharType="separate"/>
        </w:r>
        <w:r>
          <w:rPr>
            <w:webHidden/>
          </w:rPr>
          <w:t>40</w:t>
        </w:r>
        <w:r>
          <w:rPr>
            <w:webHidden/>
          </w:rPr>
          <w:fldChar w:fldCharType="end"/>
        </w:r>
      </w:hyperlink>
    </w:p>
    <w:p w14:paraId="48067703" w14:textId="77777777" w:rsidR="004D456B" w:rsidRDefault="004D456B">
      <w:pPr>
        <w:pStyle w:val="TOC2"/>
        <w:rPr>
          <w:rFonts w:cstheme="minorBidi"/>
          <w:caps w:val="0"/>
          <w:color w:val="auto"/>
          <w:sz w:val="22"/>
          <w:szCs w:val="22"/>
          <w:lang w:val="fr-CA" w:eastAsia="zh-CN"/>
        </w:rPr>
      </w:pPr>
      <w:hyperlink w:anchor="_Toc482741441" w:history="1">
        <w:r w:rsidRPr="004B456A">
          <w:rPr>
            <w:rStyle w:val="Hyperlink"/>
          </w:rPr>
          <w:t>5.5 Lack of informed consent for drug testing</w:t>
        </w:r>
        <w:r>
          <w:rPr>
            <w:webHidden/>
          </w:rPr>
          <w:tab/>
        </w:r>
        <w:r>
          <w:rPr>
            <w:webHidden/>
          </w:rPr>
          <w:fldChar w:fldCharType="begin"/>
        </w:r>
        <w:r>
          <w:rPr>
            <w:webHidden/>
          </w:rPr>
          <w:instrText xml:space="preserve"> PAGEREF _Toc482741441 \h </w:instrText>
        </w:r>
        <w:r>
          <w:rPr>
            <w:webHidden/>
          </w:rPr>
        </w:r>
        <w:r>
          <w:rPr>
            <w:webHidden/>
          </w:rPr>
          <w:fldChar w:fldCharType="separate"/>
        </w:r>
        <w:r>
          <w:rPr>
            <w:webHidden/>
          </w:rPr>
          <w:t>41</w:t>
        </w:r>
        <w:r>
          <w:rPr>
            <w:webHidden/>
          </w:rPr>
          <w:fldChar w:fldCharType="end"/>
        </w:r>
      </w:hyperlink>
    </w:p>
    <w:p w14:paraId="3B107952" w14:textId="77777777" w:rsidR="004D456B" w:rsidRDefault="004D456B">
      <w:pPr>
        <w:pStyle w:val="TOC2"/>
        <w:rPr>
          <w:rFonts w:cstheme="minorBidi"/>
          <w:caps w:val="0"/>
          <w:color w:val="auto"/>
          <w:sz w:val="22"/>
          <w:szCs w:val="22"/>
          <w:lang w:val="fr-CA" w:eastAsia="zh-CN"/>
        </w:rPr>
      </w:pPr>
      <w:hyperlink w:anchor="_Toc482741442" w:history="1">
        <w:r w:rsidRPr="004B456A">
          <w:rPr>
            <w:rStyle w:val="Hyperlink"/>
          </w:rPr>
          <w:t>5.6 IMPACT OF THE LAW: FEAR AND CONFUSION</w:t>
        </w:r>
        <w:r>
          <w:rPr>
            <w:webHidden/>
          </w:rPr>
          <w:tab/>
        </w:r>
        <w:r>
          <w:rPr>
            <w:webHidden/>
          </w:rPr>
          <w:fldChar w:fldCharType="begin"/>
        </w:r>
        <w:r>
          <w:rPr>
            <w:webHidden/>
          </w:rPr>
          <w:instrText xml:space="preserve"> PAGEREF _Toc482741442 \h </w:instrText>
        </w:r>
        <w:r>
          <w:rPr>
            <w:webHidden/>
          </w:rPr>
        </w:r>
        <w:r>
          <w:rPr>
            <w:webHidden/>
          </w:rPr>
          <w:fldChar w:fldCharType="separate"/>
        </w:r>
        <w:r>
          <w:rPr>
            <w:webHidden/>
          </w:rPr>
          <w:t>42</w:t>
        </w:r>
        <w:r>
          <w:rPr>
            <w:webHidden/>
          </w:rPr>
          <w:fldChar w:fldCharType="end"/>
        </w:r>
      </w:hyperlink>
    </w:p>
    <w:p w14:paraId="020B005B" w14:textId="77777777" w:rsidR="004D456B" w:rsidRDefault="004D456B">
      <w:pPr>
        <w:pStyle w:val="TOC2"/>
        <w:rPr>
          <w:rFonts w:cstheme="minorBidi"/>
          <w:caps w:val="0"/>
          <w:color w:val="auto"/>
          <w:sz w:val="22"/>
          <w:szCs w:val="22"/>
          <w:lang w:val="fr-CA" w:eastAsia="zh-CN"/>
        </w:rPr>
      </w:pPr>
      <w:hyperlink w:anchor="_Toc482741443" w:history="1">
        <w:r w:rsidRPr="004B456A">
          <w:rPr>
            <w:rStyle w:val="Hyperlink"/>
          </w:rPr>
          <w:t>5.7 Drug Courts: Fines and Fees</w:t>
        </w:r>
        <w:r>
          <w:rPr>
            <w:webHidden/>
          </w:rPr>
          <w:tab/>
        </w:r>
        <w:r>
          <w:rPr>
            <w:webHidden/>
          </w:rPr>
          <w:fldChar w:fldCharType="begin"/>
        </w:r>
        <w:r>
          <w:rPr>
            <w:webHidden/>
          </w:rPr>
          <w:instrText xml:space="preserve"> PAGEREF _Toc482741443 \h </w:instrText>
        </w:r>
        <w:r>
          <w:rPr>
            <w:webHidden/>
          </w:rPr>
        </w:r>
        <w:r>
          <w:rPr>
            <w:webHidden/>
          </w:rPr>
          <w:fldChar w:fldCharType="separate"/>
        </w:r>
        <w:r>
          <w:rPr>
            <w:webHidden/>
          </w:rPr>
          <w:t>43</w:t>
        </w:r>
        <w:r>
          <w:rPr>
            <w:webHidden/>
          </w:rPr>
          <w:fldChar w:fldCharType="end"/>
        </w:r>
      </w:hyperlink>
    </w:p>
    <w:p w14:paraId="7B19540F" w14:textId="77777777" w:rsidR="004D456B" w:rsidRDefault="004D456B">
      <w:pPr>
        <w:pStyle w:val="TOC2"/>
        <w:rPr>
          <w:rFonts w:cstheme="minorBidi"/>
          <w:caps w:val="0"/>
          <w:color w:val="auto"/>
          <w:sz w:val="22"/>
          <w:szCs w:val="22"/>
          <w:lang w:val="fr-CA" w:eastAsia="zh-CN"/>
        </w:rPr>
      </w:pPr>
      <w:hyperlink w:anchor="_Toc482741444" w:history="1">
        <w:r w:rsidRPr="004B456A">
          <w:rPr>
            <w:rStyle w:val="Hyperlink"/>
          </w:rPr>
          <w:t>5.8 Court-mandated residential treatment</w:t>
        </w:r>
        <w:r>
          <w:rPr>
            <w:webHidden/>
          </w:rPr>
          <w:tab/>
        </w:r>
        <w:r>
          <w:rPr>
            <w:webHidden/>
          </w:rPr>
          <w:fldChar w:fldCharType="begin"/>
        </w:r>
        <w:r>
          <w:rPr>
            <w:webHidden/>
          </w:rPr>
          <w:instrText xml:space="preserve"> PAGEREF _Toc482741444 \h </w:instrText>
        </w:r>
        <w:r>
          <w:rPr>
            <w:webHidden/>
          </w:rPr>
        </w:r>
        <w:r>
          <w:rPr>
            <w:webHidden/>
          </w:rPr>
          <w:fldChar w:fldCharType="separate"/>
        </w:r>
        <w:r>
          <w:rPr>
            <w:webHidden/>
          </w:rPr>
          <w:t>44</w:t>
        </w:r>
        <w:r>
          <w:rPr>
            <w:webHidden/>
          </w:rPr>
          <w:fldChar w:fldCharType="end"/>
        </w:r>
      </w:hyperlink>
    </w:p>
    <w:p w14:paraId="15BABBB7" w14:textId="77777777" w:rsidR="004D456B" w:rsidRDefault="004D456B">
      <w:pPr>
        <w:pStyle w:val="TOC1"/>
        <w:rPr>
          <w:rFonts w:asciiTheme="minorHAnsi" w:hAnsiTheme="minorHAnsi" w:cstheme="minorBidi"/>
          <w:b w:val="0"/>
          <w:bCs w:val="0"/>
          <w:caps w:val="0"/>
          <w:noProof/>
          <w:color w:val="auto"/>
          <w:lang w:val="fr-CA" w:eastAsia="zh-CN"/>
        </w:rPr>
      </w:pPr>
      <w:hyperlink w:anchor="_Toc482741445" w:history="1">
        <w:r w:rsidRPr="004B456A">
          <w:rPr>
            <w:rStyle w:val="Hyperlink"/>
            <w:noProof/>
          </w:rPr>
          <w:t>6. Criminalizing pregnancy: a violation  of international  human rights</w:t>
        </w:r>
        <w:r>
          <w:rPr>
            <w:noProof/>
            <w:webHidden/>
          </w:rPr>
          <w:tab/>
        </w:r>
        <w:r>
          <w:rPr>
            <w:noProof/>
            <w:webHidden/>
          </w:rPr>
          <w:fldChar w:fldCharType="begin"/>
        </w:r>
        <w:r>
          <w:rPr>
            <w:noProof/>
            <w:webHidden/>
          </w:rPr>
          <w:instrText xml:space="preserve"> PAGEREF _Toc482741445 \h </w:instrText>
        </w:r>
        <w:r>
          <w:rPr>
            <w:noProof/>
            <w:webHidden/>
          </w:rPr>
        </w:r>
        <w:r>
          <w:rPr>
            <w:noProof/>
            <w:webHidden/>
          </w:rPr>
          <w:fldChar w:fldCharType="separate"/>
        </w:r>
        <w:r>
          <w:rPr>
            <w:noProof/>
            <w:webHidden/>
          </w:rPr>
          <w:t>46</w:t>
        </w:r>
        <w:r>
          <w:rPr>
            <w:noProof/>
            <w:webHidden/>
          </w:rPr>
          <w:fldChar w:fldCharType="end"/>
        </w:r>
      </w:hyperlink>
    </w:p>
    <w:p w14:paraId="37C0140D" w14:textId="77777777" w:rsidR="004D456B" w:rsidRDefault="004D456B">
      <w:pPr>
        <w:pStyle w:val="TOC2"/>
        <w:rPr>
          <w:rFonts w:cstheme="minorBidi"/>
          <w:caps w:val="0"/>
          <w:color w:val="auto"/>
          <w:sz w:val="22"/>
          <w:szCs w:val="22"/>
          <w:lang w:val="fr-CA" w:eastAsia="zh-CN"/>
        </w:rPr>
      </w:pPr>
      <w:hyperlink w:anchor="_Toc482741446" w:history="1">
        <w:r w:rsidRPr="004B456A">
          <w:rPr>
            <w:rStyle w:val="Hyperlink"/>
          </w:rPr>
          <w:t>6.1 The right to the highest attainable standard of health</w:t>
        </w:r>
        <w:r>
          <w:rPr>
            <w:webHidden/>
          </w:rPr>
          <w:tab/>
        </w:r>
        <w:r>
          <w:rPr>
            <w:webHidden/>
          </w:rPr>
          <w:fldChar w:fldCharType="begin"/>
        </w:r>
        <w:r>
          <w:rPr>
            <w:webHidden/>
          </w:rPr>
          <w:instrText xml:space="preserve"> PAGEREF _Toc482741446 \h </w:instrText>
        </w:r>
        <w:r>
          <w:rPr>
            <w:webHidden/>
          </w:rPr>
        </w:r>
        <w:r>
          <w:rPr>
            <w:webHidden/>
          </w:rPr>
          <w:fldChar w:fldCharType="separate"/>
        </w:r>
        <w:r>
          <w:rPr>
            <w:webHidden/>
          </w:rPr>
          <w:t>49</w:t>
        </w:r>
        <w:r>
          <w:rPr>
            <w:webHidden/>
          </w:rPr>
          <w:fldChar w:fldCharType="end"/>
        </w:r>
      </w:hyperlink>
    </w:p>
    <w:p w14:paraId="5ECE15E1" w14:textId="77777777" w:rsidR="004D456B" w:rsidRDefault="004D456B">
      <w:pPr>
        <w:pStyle w:val="TOC3"/>
        <w:rPr>
          <w:rFonts w:asciiTheme="minorHAnsi" w:hAnsiTheme="minorHAnsi" w:cstheme="minorBidi"/>
          <w:caps w:val="0"/>
          <w:color w:val="auto"/>
          <w:sz w:val="22"/>
          <w:szCs w:val="22"/>
          <w:lang w:val="fr-CA" w:eastAsia="zh-CN"/>
        </w:rPr>
      </w:pPr>
      <w:hyperlink w:anchor="_Toc482741447" w:history="1">
        <w:r w:rsidRPr="004B456A">
          <w:rPr>
            <w:rStyle w:val="Hyperlink"/>
          </w:rPr>
          <w:t>6.1.1 Criminalizing pregnancy deters women’s access to healthcare services</w:t>
        </w:r>
        <w:r>
          <w:rPr>
            <w:webHidden/>
          </w:rPr>
          <w:tab/>
        </w:r>
        <w:r>
          <w:rPr>
            <w:webHidden/>
          </w:rPr>
          <w:fldChar w:fldCharType="begin"/>
        </w:r>
        <w:r>
          <w:rPr>
            <w:webHidden/>
          </w:rPr>
          <w:instrText xml:space="preserve"> PAGEREF _Toc482741447 \h </w:instrText>
        </w:r>
        <w:r>
          <w:rPr>
            <w:webHidden/>
          </w:rPr>
        </w:r>
        <w:r>
          <w:rPr>
            <w:webHidden/>
          </w:rPr>
          <w:fldChar w:fldCharType="separate"/>
        </w:r>
        <w:r>
          <w:rPr>
            <w:webHidden/>
          </w:rPr>
          <w:t>50</w:t>
        </w:r>
        <w:r>
          <w:rPr>
            <w:webHidden/>
          </w:rPr>
          <w:fldChar w:fldCharType="end"/>
        </w:r>
      </w:hyperlink>
    </w:p>
    <w:p w14:paraId="232A4CCE" w14:textId="77777777" w:rsidR="004D456B" w:rsidRDefault="004D456B">
      <w:pPr>
        <w:pStyle w:val="TOC3"/>
        <w:rPr>
          <w:rFonts w:asciiTheme="minorHAnsi" w:hAnsiTheme="minorHAnsi" w:cstheme="minorBidi"/>
          <w:caps w:val="0"/>
          <w:color w:val="auto"/>
          <w:sz w:val="22"/>
          <w:szCs w:val="22"/>
          <w:lang w:val="fr-CA" w:eastAsia="zh-CN"/>
        </w:rPr>
      </w:pPr>
      <w:hyperlink w:anchor="_Toc482741448" w:history="1">
        <w:r w:rsidRPr="004B456A">
          <w:rPr>
            <w:rStyle w:val="Hyperlink"/>
          </w:rPr>
          <w:t>6.1.2 Drug testing without informed consent and coercive testing practices</w:t>
        </w:r>
        <w:r>
          <w:rPr>
            <w:webHidden/>
          </w:rPr>
          <w:tab/>
        </w:r>
        <w:r>
          <w:rPr>
            <w:webHidden/>
          </w:rPr>
          <w:fldChar w:fldCharType="begin"/>
        </w:r>
        <w:r>
          <w:rPr>
            <w:webHidden/>
          </w:rPr>
          <w:instrText xml:space="preserve"> PAGEREF _Toc482741448 \h </w:instrText>
        </w:r>
        <w:r>
          <w:rPr>
            <w:webHidden/>
          </w:rPr>
        </w:r>
        <w:r>
          <w:rPr>
            <w:webHidden/>
          </w:rPr>
          <w:fldChar w:fldCharType="separate"/>
        </w:r>
        <w:r>
          <w:rPr>
            <w:webHidden/>
          </w:rPr>
          <w:t>51</w:t>
        </w:r>
        <w:r>
          <w:rPr>
            <w:webHidden/>
          </w:rPr>
          <w:fldChar w:fldCharType="end"/>
        </w:r>
      </w:hyperlink>
    </w:p>
    <w:p w14:paraId="28D13C2D" w14:textId="77777777" w:rsidR="004D456B" w:rsidRDefault="004D456B">
      <w:pPr>
        <w:pStyle w:val="TOC2"/>
        <w:rPr>
          <w:rFonts w:cstheme="minorBidi"/>
          <w:caps w:val="0"/>
          <w:color w:val="auto"/>
          <w:sz w:val="22"/>
          <w:szCs w:val="22"/>
          <w:lang w:val="fr-CA" w:eastAsia="zh-CN"/>
        </w:rPr>
      </w:pPr>
      <w:hyperlink w:anchor="_Toc482741449" w:history="1">
        <w:r w:rsidRPr="004B456A">
          <w:rPr>
            <w:rStyle w:val="Hyperlink"/>
          </w:rPr>
          <w:t>6.2 Right to privacy</w:t>
        </w:r>
        <w:r>
          <w:rPr>
            <w:webHidden/>
          </w:rPr>
          <w:tab/>
        </w:r>
        <w:r>
          <w:rPr>
            <w:webHidden/>
          </w:rPr>
          <w:fldChar w:fldCharType="begin"/>
        </w:r>
        <w:r>
          <w:rPr>
            <w:webHidden/>
          </w:rPr>
          <w:instrText xml:space="preserve"> PAGEREF _Toc482741449 \h </w:instrText>
        </w:r>
        <w:r>
          <w:rPr>
            <w:webHidden/>
          </w:rPr>
        </w:r>
        <w:r>
          <w:rPr>
            <w:webHidden/>
          </w:rPr>
          <w:fldChar w:fldCharType="separate"/>
        </w:r>
        <w:r>
          <w:rPr>
            <w:webHidden/>
          </w:rPr>
          <w:t>54</w:t>
        </w:r>
        <w:r>
          <w:rPr>
            <w:webHidden/>
          </w:rPr>
          <w:fldChar w:fldCharType="end"/>
        </w:r>
      </w:hyperlink>
    </w:p>
    <w:p w14:paraId="7DFE4CCE" w14:textId="77777777" w:rsidR="004D456B" w:rsidRDefault="004D456B">
      <w:pPr>
        <w:pStyle w:val="TOC3"/>
        <w:rPr>
          <w:rFonts w:asciiTheme="minorHAnsi" w:hAnsiTheme="minorHAnsi" w:cstheme="minorBidi"/>
          <w:caps w:val="0"/>
          <w:color w:val="auto"/>
          <w:sz w:val="22"/>
          <w:szCs w:val="22"/>
          <w:lang w:val="fr-CA" w:eastAsia="zh-CN"/>
        </w:rPr>
      </w:pPr>
      <w:hyperlink w:anchor="_Toc482741450" w:history="1">
        <w:r w:rsidRPr="004B456A">
          <w:rPr>
            <w:rStyle w:val="Hyperlink"/>
          </w:rPr>
          <w:t>6.2.1 Confidentiality in healthcare contexts</w:t>
        </w:r>
        <w:r>
          <w:rPr>
            <w:webHidden/>
          </w:rPr>
          <w:tab/>
        </w:r>
        <w:r>
          <w:rPr>
            <w:webHidden/>
          </w:rPr>
          <w:fldChar w:fldCharType="begin"/>
        </w:r>
        <w:r>
          <w:rPr>
            <w:webHidden/>
          </w:rPr>
          <w:instrText xml:space="preserve"> PAGEREF _Toc482741450 \h </w:instrText>
        </w:r>
        <w:r>
          <w:rPr>
            <w:webHidden/>
          </w:rPr>
        </w:r>
        <w:r>
          <w:rPr>
            <w:webHidden/>
          </w:rPr>
          <w:fldChar w:fldCharType="separate"/>
        </w:r>
        <w:r>
          <w:rPr>
            <w:webHidden/>
          </w:rPr>
          <w:t>55</w:t>
        </w:r>
        <w:r>
          <w:rPr>
            <w:webHidden/>
          </w:rPr>
          <w:fldChar w:fldCharType="end"/>
        </w:r>
      </w:hyperlink>
    </w:p>
    <w:p w14:paraId="1FD57F76" w14:textId="77777777" w:rsidR="004D456B" w:rsidRDefault="004D456B">
      <w:pPr>
        <w:pStyle w:val="TOC2"/>
        <w:rPr>
          <w:rFonts w:cstheme="minorBidi"/>
          <w:caps w:val="0"/>
          <w:color w:val="auto"/>
          <w:sz w:val="22"/>
          <w:szCs w:val="22"/>
          <w:lang w:val="fr-CA" w:eastAsia="zh-CN"/>
        </w:rPr>
      </w:pPr>
      <w:hyperlink w:anchor="_Toc482741451" w:history="1">
        <w:r w:rsidRPr="004B456A">
          <w:rPr>
            <w:rStyle w:val="Hyperlink"/>
          </w:rPr>
          <w:t>6.3 Right to a fair trial</w:t>
        </w:r>
        <w:r>
          <w:rPr>
            <w:webHidden/>
          </w:rPr>
          <w:tab/>
        </w:r>
        <w:r>
          <w:rPr>
            <w:webHidden/>
          </w:rPr>
          <w:fldChar w:fldCharType="begin"/>
        </w:r>
        <w:r>
          <w:rPr>
            <w:webHidden/>
          </w:rPr>
          <w:instrText xml:space="preserve"> PAGEREF _Toc482741451 \h </w:instrText>
        </w:r>
        <w:r>
          <w:rPr>
            <w:webHidden/>
          </w:rPr>
        </w:r>
        <w:r>
          <w:rPr>
            <w:webHidden/>
          </w:rPr>
          <w:fldChar w:fldCharType="separate"/>
        </w:r>
        <w:r>
          <w:rPr>
            <w:webHidden/>
          </w:rPr>
          <w:t>56</w:t>
        </w:r>
        <w:r>
          <w:rPr>
            <w:webHidden/>
          </w:rPr>
          <w:fldChar w:fldCharType="end"/>
        </w:r>
      </w:hyperlink>
    </w:p>
    <w:p w14:paraId="5C8798AC" w14:textId="77777777" w:rsidR="004D456B" w:rsidRDefault="004D456B">
      <w:pPr>
        <w:pStyle w:val="TOC2"/>
        <w:rPr>
          <w:rFonts w:cstheme="minorBidi"/>
          <w:caps w:val="0"/>
          <w:color w:val="auto"/>
          <w:sz w:val="22"/>
          <w:szCs w:val="22"/>
          <w:lang w:val="fr-CA" w:eastAsia="zh-CN"/>
        </w:rPr>
      </w:pPr>
      <w:hyperlink w:anchor="_Toc482741452" w:history="1">
        <w:r w:rsidRPr="004B456A">
          <w:rPr>
            <w:rStyle w:val="Hyperlink"/>
          </w:rPr>
          <w:t>6.4 The right to equality and non-discrimination</w:t>
        </w:r>
        <w:r>
          <w:rPr>
            <w:webHidden/>
          </w:rPr>
          <w:tab/>
        </w:r>
        <w:r>
          <w:rPr>
            <w:webHidden/>
          </w:rPr>
          <w:fldChar w:fldCharType="begin"/>
        </w:r>
        <w:r>
          <w:rPr>
            <w:webHidden/>
          </w:rPr>
          <w:instrText xml:space="preserve"> PAGEREF _Toc482741452 \h </w:instrText>
        </w:r>
        <w:r>
          <w:rPr>
            <w:webHidden/>
          </w:rPr>
        </w:r>
        <w:r>
          <w:rPr>
            <w:webHidden/>
          </w:rPr>
          <w:fldChar w:fldCharType="separate"/>
        </w:r>
        <w:r>
          <w:rPr>
            <w:webHidden/>
          </w:rPr>
          <w:t>59</w:t>
        </w:r>
        <w:r>
          <w:rPr>
            <w:webHidden/>
          </w:rPr>
          <w:fldChar w:fldCharType="end"/>
        </w:r>
      </w:hyperlink>
    </w:p>
    <w:p w14:paraId="58F8F146" w14:textId="77777777" w:rsidR="004D456B" w:rsidRDefault="004D456B">
      <w:pPr>
        <w:pStyle w:val="TOC3"/>
        <w:rPr>
          <w:rFonts w:asciiTheme="minorHAnsi" w:hAnsiTheme="minorHAnsi" w:cstheme="minorBidi"/>
          <w:caps w:val="0"/>
          <w:color w:val="auto"/>
          <w:sz w:val="22"/>
          <w:szCs w:val="22"/>
          <w:lang w:val="fr-CA" w:eastAsia="zh-CN"/>
        </w:rPr>
      </w:pPr>
      <w:hyperlink w:anchor="_Toc482741453" w:history="1">
        <w:r w:rsidRPr="004B456A">
          <w:rPr>
            <w:rStyle w:val="Hyperlink"/>
          </w:rPr>
          <w:t>6.4.1 Direct discrimination</w:t>
        </w:r>
        <w:r>
          <w:rPr>
            <w:webHidden/>
          </w:rPr>
          <w:tab/>
        </w:r>
        <w:r>
          <w:rPr>
            <w:webHidden/>
          </w:rPr>
          <w:fldChar w:fldCharType="begin"/>
        </w:r>
        <w:r>
          <w:rPr>
            <w:webHidden/>
          </w:rPr>
          <w:instrText xml:space="preserve"> PAGEREF _Toc482741453 \h </w:instrText>
        </w:r>
        <w:r>
          <w:rPr>
            <w:webHidden/>
          </w:rPr>
        </w:r>
        <w:r>
          <w:rPr>
            <w:webHidden/>
          </w:rPr>
          <w:fldChar w:fldCharType="separate"/>
        </w:r>
        <w:r>
          <w:rPr>
            <w:webHidden/>
          </w:rPr>
          <w:t>59</w:t>
        </w:r>
        <w:r>
          <w:rPr>
            <w:webHidden/>
          </w:rPr>
          <w:fldChar w:fldCharType="end"/>
        </w:r>
      </w:hyperlink>
    </w:p>
    <w:p w14:paraId="614CEEC2" w14:textId="77777777" w:rsidR="004D456B" w:rsidRDefault="004D456B">
      <w:pPr>
        <w:pStyle w:val="TOC3"/>
        <w:rPr>
          <w:rFonts w:asciiTheme="minorHAnsi" w:hAnsiTheme="minorHAnsi" w:cstheme="minorBidi"/>
          <w:caps w:val="0"/>
          <w:color w:val="auto"/>
          <w:sz w:val="22"/>
          <w:szCs w:val="22"/>
          <w:lang w:val="fr-CA" w:eastAsia="zh-CN"/>
        </w:rPr>
      </w:pPr>
      <w:hyperlink w:anchor="_Toc482741454" w:history="1">
        <w:r w:rsidRPr="004B456A">
          <w:rPr>
            <w:rStyle w:val="Hyperlink"/>
          </w:rPr>
          <w:t>6.4.2 Indirect discrimination</w:t>
        </w:r>
        <w:r>
          <w:rPr>
            <w:webHidden/>
          </w:rPr>
          <w:tab/>
        </w:r>
        <w:r>
          <w:rPr>
            <w:webHidden/>
          </w:rPr>
          <w:fldChar w:fldCharType="begin"/>
        </w:r>
        <w:r>
          <w:rPr>
            <w:webHidden/>
          </w:rPr>
          <w:instrText xml:space="preserve"> PAGEREF _Toc482741454 \h </w:instrText>
        </w:r>
        <w:r>
          <w:rPr>
            <w:webHidden/>
          </w:rPr>
        </w:r>
        <w:r>
          <w:rPr>
            <w:webHidden/>
          </w:rPr>
          <w:fldChar w:fldCharType="separate"/>
        </w:r>
        <w:r>
          <w:rPr>
            <w:webHidden/>
          </w:rPr>
          <w:t>60</w:t>
        </w:r>
        <w:r>
          <w:rPr>
            <w:webHidden/>
          </w:rPr>
          <w:fldChar w:fldCharType="end"/>
        </w:r>
      </w:hyperlink>
    </w:p>
    <w:p w14:paraId="5F706AA2" w14:textId="77777777" w:rsidR="004D456B" w:rsidRDefault="004D456B">
      <w:pPr>
        <w:pStyle w:val="TOC3"/>
        <w:rPr>
          <w:rFonts w:asciiTheme="minorHAnsi" w:hAnsiTheme="minorHAnsi" w:cstheme="minorBidi"/>
          <w:caps w:val="0"/>
          <w:color w:val="auto"/>
          <w:sz w:val="22"/>
          <w:szCs w:val="22"/>
          <w:lang w:val="fr-CA" w:eastAsia="zh-CN"/>
        </w:rPr>
      </w:pPr>
      <w:hyperlink w:anchor="_Toc482741455" w:history="1">
        <w:r w:rsidRPr="004B456A">
          <w:rPr>
            <w:rStyle w:val="Hyperlink"/>
          </w:rPr>
          <w:t>6.4.3 Equal protection under law</w:t>
        </w:r>
        <w:r>
          <w:rPr>
            <w:webHidden/>
          </w:rPr>
          <w:tab/>
        </w:r>
        <w:r>
          <w:rPr>
            <w:webHidden/>
          </w:rPr>
          <w:fldChar w:fldCharType="begin"/>
        </w:r>
        <w:r>
          <w:rPr>
            <w:webHidden/>
          </w:rPr>
          <w:instrText xml:space="preserve"> PAGEREF _Toc482741455 \h </w:instrText>
        </w:r>
        <w:r>
          <w:rPr>
            <w:webHidden/>
          </w:rPr>
        </w:r>
        <w:r>
          <w:rPr>
            <w:webHidden/>
          </w:rPr>
          <w:fldChar w:fldCharType="separate"/>
        </w:r>
        <w:r>
          <w:rPr>
            <w:webHidden/>
          </w:rPr>
          <w:t>61</w:t>
        </w:r>
        <w:r>
          <w:rPr>
            <w:webHidden/>
          </w:rPr>
          <w:fldChar w:fldCharType="end"/>
        </w:r>
      </w:hyperlink>
    </w:p>
    <w:p w14:paraId="76B7A0BD" w14:textId="77777777" w:rsidR="004D456B" w:rsidRDefault="004D456B">
      <w:pPr>
        <w:pStyle w:val="TOC3"/>
        <w:rPr>
          <w:rFonts w:asciiTheme="minorHAnsi" w:hAnsiTheme="minorHAnsi" w:cstheme="minorBidi"/>
          <w:caps w:val="0"/>
          <w:color w:val="auto"/>
          <w:sz w:val="22"/>
          <w:szCs w:val="22"/>
          <w:lang w:val="fr-CA" w:eastAsia="zh-CN"/>
        </w:rPr>
      </w:pPr>
      <w:hyperlink w:anchor="_Toc482741456" w:history="1">
        <w:r w:rsidRPr="004B456A">
          <w:rPr>
            <w:rStyle w:val="Hyperlink"/>
          </w:rPr>
          <w:t>6.4.4 Impact of Stigma and discrimination on health</w:t>
        </w:r>
        <w:r>
          <w:rPr>
            <w:webHidden/>
          </w:rPr>
          <w:tab/>
        </w:r>
        <w:r>
          <w:rPr>
            <w:webHidden/>
          </w:rPr>
          <w:fldChar w:fldCharType="begin"/>
        </w:r>
        <w:r>
          <w:rPr>
            <w:webHidden/>
          </w:rPr>
          <w:instrText xml:space="preserve"> PAGEREF _Toc482741456 \h </w:instrText>
        </w:r>
        <w:r>
          <w:rPr>
            <w:webHidden/>
          </w:rPr>
        </w:r>
        <w:r>
          <w:rPr>
            <w:webHidden/>
          </w:rPr>
          <w:fldChar w:fldCharType="separate"/>
        </w:r>
        <w:r>
          <w:rPr>
            <w:webHidden/>
          </w:rPr>
          <w:t>62</w:t>
        </w:r>
        <w:r>
          <w:rPr>
            <w:webHidden/>
          </w:rPr>
          <w:fldChar w:fldCharType="end"/>
        </w:r>
      </w:hyperlink>
    </w:p>
    <w:p w14:paraId="7D9E7555" w14:textId="77777777" w:rsidR="004D456B" w:rsidRDefault="004D456B">
      <w:pPr>
        <w:pStyle w:val="TOC3"/>
        <w:rPr>
          <w:rFonts w:asciiTheme="minorHAnsi" w:hAnsiTheme="minorHAnsi" w:cstheme="minorBidi"/>
          <w:caps w:val="0"/>
          <w:color w:val="auto"/>
          <w:sz w:val="22"/>
          <w:szCs w:val="22"/>
          <w:lang w:val="fr-CA" w:eastAsia="zh-CN"/>
        </w:rPr>
      </w:pPr>
      <w:hyperlink w:anchor="_Toc482741457" w:history="1">
        <w:r w:rsidRPr="004B456A">
          <w:rPr>
            <w:rStyle w:val="Hyperlink"/>
          </w:rPr>
          <w:t>6.4.5 The Obligation to combat stereotypes based  on Sex and Gender</w:t>
        </w:r>
        <w:r>
          <w:rPr>
            <w:webHidden/>
          </w:rPr>
          <w:tab/>
        </w:r>
        <w:r>
          <w:rPr>
            <w:webHidden/>
          </w:rPr>
          <w:fldChar w:fldCharType="begin"/>
        </w:r>
        <w:r>
          <w:rPr>
            <w:webHidden/>
          </w:rPr>
          <w:instrText xml:space="preserve"> PAGEREF _Toc482741457 \h </w:instrText>
        </w:r>
        <w:r>
          <w:rPr>
            <w:webHidden/>
          </w:rPr>
        </w:r>
        <w:r>
          <w:rPr>
            <w:webHidden/>
          </w:rPr>
          <w:fldChar w:fldCharType="separate"/>
        </w:r>
        <w:r>
          <w:rPr>
            <w:webHidden/>
          </w:rPr>
          <w:t>62</w:t>
        </w:r>
        <w:r>
          <w:rPr>
            <w:webHidden/>
          </w:rPr>
          <w:fldChar w:fldCharType="end"/>
        </w:r>
      </w:hyperlink>
    </w:p>
    <w:p w14:paraId="430835B0" w14:textId="77777777" w:rsidR="004D456B" w:rsidRDefault="004D456B">
      <w:pPr>
        <w:pStyle w:val="TOC1"/>
        <w:rPr>
          <w:rFonts w:asciiTheme="minorHAnsi" w:hAnsiTheme="minorHAnsi" w:cstheme="minorBidi"/>
          <w:b w:val="0"/>
          <w:bCs w:val="0"/>
          <w:caps w:val="0"/>
          <w:noProof/>
          <w:color w:val="auto"/>
          <w:lang w:val="fr-CA" w:eastAsia="zh-CN"/>
        </w:rPr>
      </w:pPr>
      <w:hyperlink w:anchor="_Toc482741458" w:history="1">
        <w:r w:rsidRPr="004B456A">
          <w:rPr>
            <w:rStyle w:val="Hyperlink"/>
            <w:noProof/>
          </w:rPr>
          <w:t>7. Conclusions and recommendations</w:t>
        </w:r>
        <w:r>
          <w:rPr>
            <w:noProof/>
            <w:webHidden/>
          </w:rPr>
          <w:tab/>
        </w:r>
        <w:r>
          <w:rPr>
            <w:noProof/>
            <w:webHidden/>
          </w:rPr>
          <w:fldChar w:fldCharType="begin"/>
        </w:r>
        <w:r>
          <w:rPr>
            <w:noProof/>
            <w:webHidden/>
          </w:rPr>
          <w:instrText xml:space="preserve"> PAGEREF _Toc482741458 \h </w:instrText>
        </w:r>
        <w:r>
          <w:rPr>
            <w:noProof/>
            <w:webHidden/>
          </w:rPr>
        </w:r>
        <w:r>
          <w:rPr>
            <w:noProof/>
            <w:webHidden/>
          </w:rPr>
          <w:fldChar w:fldCharType="separate"/>
        </w:r>
        <w:r>
          <w:rPr>
            <w:noProof/>
            <w:webHidden/>
          </w:rPr>
          <w:t>65</w:t>
        </w:r>
        <w:r>
          <w:rPr>
            <w:noProof/>
            <w:webHidden/>
          </w:rPr>
          <w:fldChar w:fldCharType="end"/>
        </w:r>
      </w:hyperlink>
    </w:p>
    <w:p w14:paraId="6846F0CD" w14:textId="77777777" w:rsidR="009800D2" w:rsidRPr="00C06C22" w:rsidRDefault="00A164C2" w:rsidP="00E64E6F">
      <w:pPr>
        <w:pStyle w:val="RTTitle-NonTOC"/>
        <w:rPr>
          <w:noProof w:val="0"/>
          <w:lang w:val="en-US"/>
        </w:rPr>
      </w:pPr>
      <w:r w:rsidRPr="00C06C22">
        <w:rPr>
          <w:noProof w:val="0"/>
          <w:lang w:val="en-US"/>
        </w:rPr>
        <w:lastRenderedPageBreak/>
        <w:fldChar w:fldCharType="end"/>
      </w:r>
      <w:r w:rsidR="009800D2" w:rsidRPr="00C06C22">
        <w:rPr>
          <w:noProof w:val="0"/>
          <w:lang w:val="en-US"/>
        </w:rPr>
        <w:t>glossary</w:t>
      </w:r>
    </w:p>
    <w:tbl>
      <w:tblPr>
        <w:tblStyle w:val="RTTableStyle1"/>
        <w:tblW w:w="0" w:type="auto"/>
        <w:tblLook w:val="04A0" w:firstRow="1" w:lastRow="0" w:firstColumn="1" w:lastColumn="0" w:noHBand="0" w:noVBand="1"/>
      </w:tblPr>
      <w:tblGrid>
        <w:gridCol w:w="1735"/>
        <w:gridCol w:w="6429"/>
      </w:tblGrid>
      <w:tr w:rsidR="0033667F" w:rsidRPr="00C06C22" w14:paraId="4027E7C4" w14:textId="77777777" w:rsidTr="004F6E6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35" w:type="dxa"/>
          </w:tcPr>
          <w:p w14:paraId="0490E1C9" w14:textId="052FC56A" w:rsidR="0033667F" w:rsidRPr="00C06C22" w:rsidRDefault="0033667F" w:rsidP="00E20D98">
            <w:pPr>
              <w:pStyle w:val="RTBodyText"/>
              <w:rPr>
                <w:lang w:val="en-US"/>
              </w:rPr>
            </w:pPr>
          </w:p>
        </w:tc>
        <w:tc>
          <w:tcPr>
            <w:tcW w:w="6429" w:type="dxa"/>
          </w:tcPr>
          <w:p w14:paraId="4532926B" w14:textId="40088754" w:rsidR="0033667F" w:rsidRPr="00C06C22" w:rsidRDefault="0033667F" w:rsidP="00E20D98">
            <w:pPr>
              <w:pStyle w:val="RTBodyText"/>
              <w:cnfStyle w:val="100000000000" w:firstRow="1" w:lastRow="0" w:firstColumn="0" w:lastColumn="0" w:oddVBand="0" w:evenVBand="0" w:oddHBand="0" w:evenHBand="0" w:firstRowFirstColumn="0" w:firstRowLastColumn="0" w:lastRowFirstColumn="0" w:lastRowLastColumn="0"/>
              <w:rPr>
                <w:lang w:val="en-US"/>
              </w:rPr>
            </w:pPr>
          </w:p>
        </w:tc>
      </w:tr>
      <w:tr w:rsidR="0033667F" w:rsidRPr="00C06C22" w14:paraId="10385DC7" w14:textId="77777777" w:rsidTr="004F6E65">
        <w:tc>
          <w:tcPr>
            <w:cnfStyle w:val="001000000000" w:firstRow="0" w:lastRow="0" w:firstColumn="1" w:lastColumn="0" w:oddVBand="0" w:evenVBand="0" w:oddHBand="0" w:evenHBand="0" w:firstRowFirstColumn="0" w:firstRowLastColumn="0" w:lastRowFirstColumn="0" w:lastRowLastColumn="0"/>
            <w:tcW w:w="1735" w:type="dxa"/>
          </w:tcPr>
          <w:p w14:paraId="55F31C53" w14:textId="09B9838F" w:rsidR="0033667F" w:rsidRPr="00C06C22" w:rsidRDefault="00B52D6E" w:rsidP="00E20D98">
            <w:pPr>
              <w:pStyle w:val="RTBodyText"/>
              <w:rPr>
                <w:lang w:val="en-US"/>
              </w:rPr>
            </w:pPr>
            <w:r w:rsidRPr="00B52D6E">
              <w:rPr>
                <w:lang w:val="en-US"/>
              </w:rPr>
              <w:t>cHILD PROTECTIVE SERVICES (CPS)</w:t>
            </w:r>
          </w:p>
        </w:tc>
        <w:tc>
          <w:tcPr>
            <w:tcW w:w="6429" w:type="dxa"/>
          </w:tcPr>
          <w:p w14:paraId="6A9278FC" w14:textId="3BBE6E08" w:rsidR="0033667F" w:rsidRPr="00FB2C4B" w:rsidRDefault="00B52D6E" w:rsidP="003231DE">
            <w:pPr>
              <w:pStyle w:val="RTBodyText"/>
              <w:cnfStyle w:val="000000000000" w:firstRow="0" w:lastRow="0" w:firstColumn="0" w:lastColumn="0" w:oddVBand="0" w:evenVBand="0" w:oddHBand="0" w:evenHBand="0" w:firstRowFirstColumn="0" w:firstRowLastColumn="0" w:lastRowFirstColumn="0" w:lastRowLastColumn="0"/>
            </w:pPr>
            <w:r w:rsidRPr="00B52D6E">
              <w:t>Child Protective Services refers to state</w:t>
            </w:r>
            <w:r w:rsidR="003801BE">
              <w:t>-</w:t>
            </w:r>
            <w:r w:rsidRPr="00B52D6E">
              <w:t>level agencies that intervene to investigate allegations of child abuse or neglect.</w:t>
            </w:r>
            <w:r w:rsidRPr="00FB2C4B">
              <w:rPr>
                <w:vertAlign w:val="superscript"/>
              </w:rPr>
              <w:footnoteReference w:id="1"/>
            </w:r>
            <w:r w:rsidR="00020CA5">
              <w:t xml:space="preserve"> In this report,</w:t>
            </w:r>
            <w:r w:rsidRPr="00B52D6E">
              <w:t xml:space="preserve"> relevant agencies are the Alabama Department of Human Resources (DHR) and Tennessee Department of Human Services (DHS).</w:t>
            </w:r>
            <w:r w:rsidR="00FB2C4B">
              <w:t xml:space="preserve"> </w:t>
            </w:r>
            <w:r w:rsidRPr="00B52D6E">
              <w:rPr>
                <w:lang w:val="en-US"/>
              </w:rPr>
              <w:t>Child abuse and neglect are defined by federal and state laws, and may be defined in both civil and criminal statutes.</w:t>
            </w:r>
          </w:p>
        </w:tc>
      </w:tr>
      <w:tr w:rsidR="0033667F" w:rsidRPr="00C06C22" w14:paraId="27417BD4" w14:textId="77777777" w:rsidTr="004F6E6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35" w:type="dxa"/>
          </w:tcPr>
          <w:p w14:paraId="5D7242EE" w14:textId="41F1CEB9" w:rsidR="0033667F" w:rsidRPr="00C06C22" w:rsidRDefault="00B52D6E" w:rsidP="00E20D98">
            <w:pPr>
              <w:pStyle w:val="RTBodyText"/>
              <w:rPr>
                <w:lang w:val="en-US"/>
              </w:rPr>
            </w:pPr>
            <w:r w:rsidRPr="00B52D6E">
              <w:rPr>
                <w:lang w:val="en-US"/>
              </w:rPr>
              <w:t>criminalization of pregnancy</w:t>
            </w:r>
          </w:p>
        </w:tc>
        <w:tc>
          <w:tcPr>
            <w:tcW w:w="6429" w:type="dxa"/>
          </w:tcPr>
          <w:p w14:paraId="037E81AD" w14:textId="56F84EE5" w:rsidR="0033667F" w:rsidRPr="00FB2C4B" w:rsidRDefault="00B52D6E" w:rsidP="00B52D6E">
            <w:pPr>
              <w:pStyle w:val="RTBodyText"/>
              <w:cnfStyle w:val="000000010000" w:firstRow="0" w:lastRow="0" w:firstColumn="0" w:lastColumn="0" w:oddVBand="0" w:evenVBand="0" w:oddHBand="0" w:evenHBand="1" w:firstRowFirstColumn="0" w:firstRowLastColumn="0" w:lastRowFirstColumn="0" w:lastRowLastColumn="0"/>
            </w:pPr>
            <w:r w:rsidRPr="00B52D6E">
              <w:t>The process of attaching punishmen</w:t>
            </w:r>
            <w:r w:rsidR="00020CA5">
              <w:t>ts or penalties t</w:t>
            </w:r>
            <w:r w:rsidR="00B2159C">
              <w:t>o women for actions that are interpreted as harmful to their own pregnancies</w:t>
            </w:r>
            <w:r w:rsidRPr="00B52D6E">
              <w:t>. This includes laws that punish actions during pregnancy that would not otherwise be made criminal or punishable.</w:t>
            </w:r>
            <w:r w:rsidR="00FB2C4B">
              <w:t xml:space="preserve"> </w:t>
            </w:r>
            <w:r w:rsidRPr="00B52D6E">
              <w:rPr>
                <w:lang w:val="en-US"/>
              </w:rPr>
              <w:t>It also refers to other laws not specific to pregnancy but which are either applied in a discriminatory way against pregnant women and/or have a disproportionate i</w:t>
            </w:r>
            <w:r w:rsidR="00B2159C">
              <w:rPr>
                <w:lang w:val="en-US"/>
              </w:rPr>
              <w:t>mpact on pregnant women</w:t>
            </w:r>
            <w:r w:rsidRPr="00B52D6E">
              <w:rPr>
                <w:lang w:val="en-US"/>
              </w:rPr>
              <w:t xml:space="preserve"> which can in practice work as de facto criminalization.</w:t>
            </w:r>
          </w:p>
        </w:tc>
      </w:tr>
      <w:tr w:rsidR="0033667F" w:rsidRPr="00C06C22" w14:paraId="31D0422B" w14:textId="77777777" w:rsidTr="004F6E65">
        <w:tc>
          <w:tcPr>
            <w:cnfStyle w:val="001000000000" w:firstRow="0" w:lastRow="0" w:firstColumn="1" w:lastColumn="0" w:oddVBand="0" w:evenVBand="0" w:oddHBand="0" w:evenHBand="0" w:firstRowFirstColumn="0" w:firstRowLastColumn="0" w:lastRowFirstColumn="0" w:lastRowLastColumn="0"/>
            <w:tcW w:w="1735" w:type="dxa"/>
          </w:tcPr>
          <w:p w14:paraId="16382D6A" w14:textId="14792F5D" w:rsidR="0033667F" w:rsidRPr="00C06C22" w:rsidRDefault="00B52D6E" w:rsidP="00E20D98">
            <w:pPr>
              <w:pStyle w:val="RTBodyText"/>
              <w:rPr>
                <w:lang w:val="en-US"/>
              </w:rPr>
            </w:pPr>
            <w:r w:rsidRPr="00B52D6E">
              <w:rPr>
                <w:lang w:val="en-US"/>
              </w:rPr>
              <w:t>drug court</w:t>
            </w:r>
          </w:p>
        </w:tc>
        <w:tc>
          <w:tcPr>
            <w:tcW w:w="6429" w:type="dxa"/>
          </w:tcPr>
          <w:p w14:paraId="0432F43C" w14:textId="171176BD" w:rsidR="0033667F" w:rsidRPr="00B52D6E" w:rsidRDefault="00B52D6E" w:rsidP="003231DE">
            <w:pPr>
              <w:pStyle w:val="RTBodyText"/>
              <w:cnfStyle w:val="000000000000" w:firstRow="0" w:lastRow="0" w:firstColumn="0" w:lastColumn="0" w:oddVBand="0" w:evenVBand="0" w:oddHBand="0" w:evenHBand="0" w:firstRowFirstColumn="0" w:firstRowLastColumn="0" w:lastRowFirstColumn="0" w:lastRowLastColumn="0"/>
            </w:pPr>
            <w:r w:rsidRPr="00B52D6E">
              <w:t xml:space="preserve">Drug </w:t>
            </w:r>
            <w:r w:rsidR="00E57849">
              <w:t>c</w:t>
            </w:r>
            <w:r w:rsidRPr="00B52D6E">
              <w:t>ourts are specialized court programs that are intended to offer court-supervised treatment for drug dependence. While there is no single model, the principal aim of the programs is to divert people from incarceration into treatment.</w:t>
            </w:r>
            <w:r w:rsidRPr="00B52D6E">
              <w:rPr>
                <w:vertAlign w:val="superscript"/>
              </w:rPr>
              <w:footnoteReference w:id="2"/>
            </w:r>
            <w:r w:rsidRPr="00B52D6E">
              <w:t xml:space="preserve"> Family drug court programs serve families involved with Child Protective Services due to parental drug use.</w:t>
            </w:r>
          </w:p>
        </w:tc>
      </w:tr>
      <w:tr w:rsidR="0033667F" w:rsidRPr="00C06C22" w14:paraId="598BB243" w14:textId="77777777" w:rsidTr="004F6E6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35" w:type="dxa"/>
          </w:tcPr>
          <w:p w14:paraId="1D873115" w14:textId="2C568BA0" w:rsidR="0033667F" w:rsidRPr="00C06C22" w:rsidRDefault="00B52D6E" w:rsidP="00E20D98">
            <w:pPr>
              <w:pStyle w:val="RTBodyText"/>
              <w:rPr>
                <w:lang w:val="en-US"/>
              </w:rPr>
            </w:pPr>
            <w:r w:rsidRPr="00B52D6E">
              <w:rPr>
                <w:lang w:val="en-US"/>
              </w:rPr>
              <w:t>drug dependence</w:t>
            </w:r>
          </w:p>
        </w:tc>
        <w:tc>
          <w:tcPr>
            <w:tcW w:w="6429" w:type="dxa"/>
          </w:tcPr>
          <w:p w14:paraId="6672B4B7" w14:textId="29E9029E" w:rsidR="0033667F" w:rsidRPr="00B52D6E" w:rsidRDefault="00B52D6E" w:rsidP="00B52D6E">
            <w:pPr>
              <w:pStyle w:val="RTBodyText"/>
              <w:tabs>
                <w:tab w:val="left" w:pos="984"/>
              </w:tabs>
              <w:cnfStyle w:val="000000010000" w:firstRow="0" w:lastRow="0" w:firstColumn="0" w:lastColumn="0" w:oddVBand="0" w:evenVBand="0" w:oddHBand="0" w:evenHBand="1" w:firstRowFirstColumn="0" w:firstRowLastColumn="0" w:lastRowFirstColumn="0" w:lastRowLastColumn="0"/>
            </w:pPr>
            <w:r w:rsidRPr="00B52D6E">
              <w:t>Drug dependence is a chronic, relapsing disorder involving brain function that may require medical treatment.</w:t>
            </w:r>
            <w:r w:rsidRPr="00B52D6E">
              <w:rPr>
                <w:vertAlign w:val="superscript"/>
              </w:rPr>
              <w:footnoteReference w:id="3"/>
            </w:r>
            <w:r w:rsidRPr="00B52D6E">
              <w:t xml:space="preserve"> Drug use is not a medical condition and does not necessarily imply dependence.</w:t>
            </w:r>
            <w:r w:rsidRPr="00B52D6E">
              <w:rPr>
                <w:vertAlign w:val="superscript"/>
              </w:rPr>
              <w:footnoteReference w:id="4"/>
            </w:r>
            <w:r w:rsidRPr="00B52D6E">
              <w:t xml:space="preserve"> Some government agencies and physicians cited in this report use the terms “substance abuse” and/or “addiction” interchangeably with the term drug dependence.</w:t>
            </w:r>
          </w:p>
        </w:tc>
      </w:tr>
      <w:tr w:rsidR="0033667F" w:rsidRPr="00C06C22" w14:paraId="4A26D4B2" w14:textId="77777777" w:rsidTr="004F6E65">
        <w:tc>
          <w:tcPr>
            <w:cnfStyle w:val="001000000000" w:firstRow="0" w:lastRow="0" w:firstColumn="1" w:lastColumn="0" w:oddVBand="0" w:evenVBand="0" w:oddHBand="0" w:evenHBand="0" w:firstRowFirstColumn="0" w:firstRowLastColumn="0" w:lastRowFirstColumn="0" w:lastRowLastColumn="0"/>
            <w:tcW w:w="1735" w:type="dxa"/>
          </w:tcPr>
          <w:p w14:paraId="5F428FC0" w14:textId="571DAEEC" w:rsidR="0033667F" w:rsidRPr="00C06C22" w:rsidRDefault="00B52D6E" w:rsidP="00E20D98">
            <w:pPr>
              <w:pStyle w:val="RTBodyText"/>
              <w:rPr>
                <w:lang w:val="en-US"/>
              </w:rPr>
            </w:pPr>
            <w:r>
              <w:rPr>
                <w:lang w:val="en-US"/>
              </w:rPr>
              <w:t>fetal assault law</w:t>
            </w:r>
          </w:p>
        </w:tc>
        <w:tc>
          <w:tcPr>
            <w:tcW w:w="6429" w:type="dxa"/>
          </w:tcPr>
          <w:p w14:paraId="61675910" w14:textId="6A4140ED" w:rsidR="00B52D6E" w:rsidRPr="00B52D6E" w:rsidRDefault="00B52D6E" w:rsidP="00B52D6E">
            <w:pPr>
              <w:pStyle w:val="RTBodyText"/>
              <w:cnfStyle w:val="000000000000" w:firstRow="0" w:lastRow="0" w:firstColumn="0" w:lastColumn="0" w:oddVBand="0" w:evenVBand="0" w:oddHBand="0" w:evenHBand="0" w:firstRowFirstColumn="0" w:firstRowLastColumn="0" w:lastRowFirstColumn="0" w:lastRowLastColumn="0"/>
            </w:pPr>
            <w:r w:rsidRPr="00B52D6E">
              <w:t xml:space="preserve">In 38 states, </w:t>
            </w:r>
            <w:r w:rsidR="00D62992">
              <w:t>“</w:t>
            </w:r>
            <w:proofErr w:type="spellStart"/>
            <w:r w:rsidRPr="00B52D6E">
              <w:t>fetal</w:t>
            </w:r>
            <w:proofErr w:type="spellEnd"/>
            <w:r w:rsidRPr="00B52D6E">
              <w:t xml:space="preserve"> assault</w:t>
            </w:r>
            <w:r w:rsidR="00D62992">
              <w:t>”</w:t>
            </w:r>
            <w:r w:rsidRPr="00B52D6E">
              <w:t xml:space="preserve"> laws define an embryo or </w:t>
            </w:r>
            <w:proofErr w:type="spellStart"/>
            <w:r w:rsidRPr="00B52D6E">
              <w:t>fetus</w:t>
            </w:r>
            <w:proofErr w:type="spellEnd"/>
            <w:r w:rsidRPr="00B52D6E">
              <w:t xml:space="preserve"> as being the potential victim of a crime. In 23 states, these laws apply from the moment of fertilization. In most states, these laws may be applied to pregnant women with regards to their own pregnancies.</w:t>
            </w:r>
          </w:p>
          <w:p w14:paraId="1791A9AB" w14:textId="77777777" w:rsidR="0033667F" w:rsidRPr="00C06C22" w:rsidRDefault="0033667F" w:rsidP="00E20D98">
            <w:pPr>
              <w:pStyle w:val="RTBodyText"/>
              <w:cnfStyle w:val="000000000000" w:firstRow="0" w:lastRow="0" w:firstColumn="0" w:lastColumn="0" w:oddVBand="0" w:evenVBand="0" w:oddHBand="0" w:evenHBand="0" w:firstRowFirstColumn="0" w:firstRowLastColumn="0" w:lastRowFirstColumn="0" w:lastRowLastColumn="0"/>
              <w:rPr>
                <w:lang w:val="en-US"/>
              </w:rPr>
            </w:pPr>
          </w:p>
        </w:tc>
      </w:tr>
      <w:tr w:rsidR="00FB2C4B" w:rsidRPr="00C06C22" w14:paraId="053C3FBC" w14:textId="77777777" w:rsidTr="004F6E6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35" w:type="dxa"/>
          </w:tcPr>
          <w:p w14:paraId="74EA51B0" w14:textId="5CF92744" w:rsidR="00FB2C4B" w:rsidRDefault="00FB2C4B" w:rsidP="00E20D98">
            <w:pPr>
              <w:pStyle w:val="RTBodyText"/>
              <w:rPr>
                <w:lang w:val="en-US"/>
              </w:rPr>
            </w:pPr>
            <w:r>
              <w:rPr>
                <w:lang w:val="en-US"/>
              </w:rPr>
              <w:t>medication-assisted treatment</w:t>
            </w:r>
          </w:p>
        </w:tc>
        <w:tc>
          <w:tcPr>
            <w:tcW w:w="6429" w:type="dxa"/>
          </w:tcPr>
          <w:p w14:paraId="5C4CB157" w14:textId="1DEF87A4" w:rsidR="00FB2C4B" w:rsidRPr="00B52D6E" w:rsidRDefault="00FB2C4B" w:rsidP="00B52D6E">
            <w:pPr>
              <w:pStyle w:val="RTBodyText"/>
              <w:cnfStyle w:val="000000010000" w:firstRow="0" w:lastRow="0" w:firstColumn="0" w:lastColumn="0" w:oddVBand="0" w:evenVBand="0" w:oddHBand="0" w:evenHBand="1" w:firstRowFirstColumn="0" w:firstRowLastColumn="0" w:lastRowFirstColumn="0" w:lastRowLastColumn="0"/>
            </w:pPr>
            <w:r w:rsidRPr="00FB2C4B">
              <w:t xml:space="preserve">Medication-Assisted </w:t>
            </w:r>
            <w:r w:rsidR="004D456B">
              <w:t>T</w:t>
            </w:r>
            <w:r w:rsidRPr="00FB2C4B">
              <w:t xml:space="preserve">reatment is the use of medications in combination with </w:t>
            </w:r>
            <w:proofErr w:type="spellStart"/>
            <w:r w:rsidRPr="00FB2C4B">
              <w:t>behavioral</w:t>
            </w:r>
            <w:proofErr w:type="spellEnd"/>
            <w:r w:rsidRPr="00FB2C4B">
              <w:t xml:space="preserve"> therapies to treat drug dependence including dependence on opioid drugs. Methadone and buprenorphine are examples of opioid maintenance </w:t>
            </w:r>
            <w:r w:rsidRPr="00FB2C4B">
              <w:lastRenderedPageBreak/>
              <w:t>therapies and are generally referred to as opioid maintenance treatment. The World Health Organization recommends opioid maintenance treatment as the recommended treatment for pregnant women with opioid dependence. Opioid drugs include prescription pain medications as well as illegal drugs. The terms Medication-Assisted Treatment, Opioid Maintenance Treatment and Opioid Substitution Treatment are sometimes used interchangeably.</w:t>
            </w:r>
          </w:p>
        </w:tc>
      </w:tr>
    </w:tbl>
    <w:p w14:paraId="31F0722F" w14:textId="77777777" w:rsidR="0033667F" w:rsidRPr="00C06C22" w:rsidRDefault="0033667F" w:rsidP="00E20D98">
      <w:pPr>
        <w:pStyle w:val="RTBodyText"/>
        <w:rPr>
          <w:lang w:val="en-US"/>
        </w:rPr>
      </w:pPr>
    </w:p>
    <w:p w14:paraId="705955BB" w14:textId="77777777" w:rsidR="00704D0D" w:rsidRPr="00C06C22" w:rsidRDefault="003E4A5D" w:rsidP="00ED7EA3">
      <w:pPr>
        <w:pStyle w:val="RTTitlenumbered"/>
        <w:rPr>
          <w:noProof w:val="0"/>
          <w:lang w:val="en-US"/>
        </w:rPr>
      </w:pPr>
      <w:bookmarkStart w:id="0" w:name="_Toc482741414"/>
      <w:r w:rsidRPr="00C06C22">
        <w:rPr>
          <w:noProof w:val="0"/>
          <w:lang w:val="en-US"/>
        </w:rPr>
        <w:lastRenderedPageBreak/>
        <w:t>Executive summary</w:t>
      </w:r>
      <w:bookmarkEnd w:id="0"/>
    </w:p>
    <w:tbl>
      <w:tblPr>
        <w:tblStyle w:val="TableGrid"/>
        <w:tblW w:w="8278" w:type="dxa"/>
        <w:tblBorders>
          <w:top w:val="none" w:sz="0" w:space="0" w:color="auto"/>
          <w:left w:val="single" w:sz="48" w:space="0" w:color="000000" w:themeColor="text1"/>
          <w:bottom w:val="none" w:sz="0" w:space="0" w:color="auto"/>
          <w:right w:val="none" w:sz="0" w:space="0" w:color="auto"/>
          <w:insideH w:val="none" w:sz="0" w:space="0" w:color="auto"/>
          <w:insideV w:val="none" w:sz="0" w:space="0" w:color="auto"/>
        </w:tblBorders>
        <w:tblLayout w:type="fixed"/>
        <w:tblCellMar>
          <w:top w:w="113" w:type="dxa"/>
          <w:left w:w="227" w:type="dxa"/>
          <w:right w:w="0" w:type="dxa"/>
        </w:tblCellMar>
        <w:tblLook w:val="04A0" w:firstRow="1" w:lastRow="0" w:firstColumn="1" w:lastColumn="0" w:noHBand="0" w:noVBand="1"/>
      </w:tblPr>
      <w:tblGrid>
        <w:gridCol w:w="8278"/>
      </w:tblGrid>
      <w:tr w:rsidR="00011D35" w:rsidRPr="00C06C22" w14:paraId="6EE08B37" w14:textId="77777777" w:rsidTr="000A334D">
        <w:tc>
          <w:tcPr>
            <w:tcW w:w="8278" w:type="dxa"/>
          </w:tcPr>
          <w:p w14:paraId="263C3596" w14:textId="0E9E4F64" w:rsidR="00011D35" w:rsidRPr="00C06C22" w:rsidRDefault="00011D35" w:rsidP="00011D35">
            <w:pPr>
              <w:pStyle w:val="RTQuoteText"/>
              <w:rPr>
                <w:lang w:eastAsia="en-GB"/>
              </w:rPr>
            </w:pPr>
            <w:r>
              <w:rPr>
                <w:lang w:eastAsia="en-GB"/>
              </w:rPr>
              <w:t xml:space="preserve">“If I had known that you go to the doctor and get a positive drug screen, I would </w:t>
            </w:r>
            <w:r w:rsidR="0042159A">
              <w:rPr>
                <w:lang w:eastAsia="en-GB"/>
              </w:rPr>
              <w:t>not have gone to the doctor</w:t>
            </w:r>
            <w:r>
              <w:rPr>
                <w:lang w:eastAsia="en-GB"/>
              </w:rPr>
              <w:t xml:space="preserve">. </w:t>
            </w:r>
            <w:r w:rsidR="00A7797A">
              <w:rPr>
                <w:lang w:eastAsia="en-GB"/>
              </w:rPr>
              <w:t>I’d l</w:t>
            </w:r>
            <w:r>
              <w:rPr>
                <w:lang w:eastAsia="en-GB"/>
              </w:rPr>
              <w:t xml:space="preserve">et nobody know. Especially not the doctor. Especially not </w:t>
            </w:r>
            <w:r w:rsidR="00344B61">
              <w:rPr>
                <w:lang w:eastAsia="en-GB"/>
              </w:rPr>
              <w:t xml:space="preserve">the </w:t>
            </w:r>
            <w:r>
              <w:rPr>
                <w:lang w:eastAsia="en-GB"/>
              </w:rPr>
              <w:t>people who say they want to help. I really wanted the help. But now I feel that my help is punishing me. It hurts and it’s scary as hell that I’ve got to walk around carrying this baby and not know if I’m going t</w:t>
            </w:r>
            <w:r w:rsidR="0042159A">
              <w:rPr>
                <w:lang w:eastAsia="en-GB"/>
              </w:rPr>
              <w:t>o get charged</w:t>
            </w:r>
            <w:r>
              <w:rPr>
                <w:lang w:eastAsia="en-GB"/>
              </w:rPr>
              <w:t>.”</w:t>
            </w:r>
          </w:p>
        </w:tc>
      </w:tr>
      <w:tr w:rsidR="00011D35" w:rsidRPr="00C06C22" w14:paraId="1EB2B673" w14:textId="77777777" w:rsidTr="000A334D">
        <w:tc>
          <w:tcPr>
            <w:tcW w:w="8278" w:type="dxa"/>
          </w:tcPr>
          <w:p w14:paraId="3749A103" w14:textId="0392279B" w:rsidR="00011D35" w:rsidRPr="00C06C22" w:rsidRDefault="00011D35" w:rsidP="000A334D">
            <w:pPr>
              <w:pStyle w:val="RTSourceText"/>
            </w:pPr>
            <w:r>
              <w:t xml:space="preserve">Nikki, pregnant woman at a residential drug treatment </w:t>
            </w:r>
            <w:proofErr w:type="spellStart"/>
            <w:r>
              <w:t>center</w:t>
            </w:r>
            <w:proofErr w:type="spellEnd"/>
            <w:r>
              <w:t xml:space="preserve"> in Birmingham, Alabama</w:t>
            </w:r>
          </w:p>
        </w:tc>
      </w:tr>
    </w:tbl>
    <w:p w14:paraId="14233886" w14:textId="77777777" w:rsidR="00011D35" w:rsidRDefault="00011D35" w:rsidP="00011D35">
      <w:pPr>
        <w:pStyle w:val="RTQuoteText"/>
        <w:rPr>
          <w:lang w:eastAsia="en-GB"/>
        </w:rPr>
      </w:pPr>
    </w:p>
    <w:p w14:paraId="0151D4E7" w14:textId="001D7FC5" w:rsidR="00E57849" w:rsidRPr="008C0697" w:rsidRDefault="00E57849" w:rsidP="00E57849">
      <w:pPr>
        <w:spacing w:after="120"/>
        <w:rPr>
          <w:rFonts w:asciiTheme="minorHAnsi" w:hAnsiTheme="minorHAnsi"/>
          <w:sz w:val="18"/>
          <w:szCs w:val="24"/>
          <w:lang w:eastAsia="en-GB"/>
        </w:rPr>
      </w:pPr>
      <w:r w:rsidRPr="008C0697">
        <w:rPr>
          <w:rFonts w:asciiTheme="minorHAnsi" w:hAnsiTheme="minorHAnsi"/>
          <w:sz w:val="18"/>
          <w:szCs w:val="24"/>
          <w:lang w:eastAsia="en-GB"/>
        </w:rPr>
        <w:t xml:space="preserve">Throughout the </w:t>
      </w:r>
      <w:r w:rsidR="008C0697">
        <w:rPr>
          <w:rFonts w:asciiTheme="minorHAnsi" w:hAnsiTheme="minorHAnsi"/>
          <w:sz w:val="18"/>
          <w:szCs w:val="24"/>
          <w:lang w:eastAsia="en-GB"/>
        </w:rPr>
        <w:t>USA</w:t>
      </w:r>
      <w:r w:rsidRPr="008C0697">
        <w:rPr>
          <w:rFonts w:asciiTheme="minorHAnsi" w:hAnsiTheme="minorHAnsi"/>
          <w:sz w:val="18"/>
          <w:szCs w:val="24"/>
          <w:lang w:eastAsia="en-GB"/>
        </w:rPr>
        <w:t>, women become subject to unique forms of regulation when they become pregnant. While pregnant women remain subject to the same laws as anyone else, an additional set of legislation targets pregnant women, particularly those who are marginalized and those who use drugs, based on a belief that they have caused or risked harm to their fetus. Often known as “fetal assault”</w:t>
      </w:r>
      <w:r w:rsidR="00FB1376">
        <w:rPr>
          <w:rFonts w:asciiTheme="minorHAnsi" w:hAnsiTheme="minorHAnsi"/>
          <w:sz w:val="18"/>
          <w:szCs w:val="24"/>
          <w:lang w:eastAsia="en-GB"/>
        </w:rPr>
        <w:t>,</w:t>
      </w:r>
      <w:r w:rsidRPr="008C0697">
        <w:rPr>
          <w:rFonts w:asciiTheme="minorHAnsi" w:hAnsiTheme="minorHAnsi"/>
          <w:sz w:val="18"/>
          <w:szCs w:val="24"/>
          <w:lang w:eastAsia="en-GB"/>
        </w:rPr>
        <w:t xml:space="preserve"> “chemical endangerment” or “personhood” laws, these measures have been used to arrest and prosecute women who experience pregnancy complications and conditions such as drug dependence. </w:t>
      </w:r>
      <w:proofErr w:type="gramStart"/>
      <w:r w:rsidRPr="008C0697">
        <w:rPr>
          <w:rFonts w:asciiTheme="minorHAnsi" w:hAnsiTheme="minorHAnsi"/>
          <w:sz w:val="18"/>
          <w:szCs w:val="24"/>
          <w:lang w:eastAsia="en-GB"/>
        </w:rPr>
        <w:t>A patchwork of evolving laws and practices impact women in every region and state.</w:t>
      </w:r>
      <w:proofErr w:type="gramEnd"/>
      <w:r w:rsidRPr="008C0697">
        <w:rPr>
          <w:rFonts w:asciiTheme="minorHAnsi" w:hAnsiTheme="minorHAnsi"/>
          <w:sz w:val="18"/>
          <w:szCs w:val="24"/>
          <w:lang w:eastAsia="en-GB"/>
        </w:rPr>
        <w:t xml:space="preserve"> </w:t>
      </w:r>
    </w:p>
    <w:p w14:paraId="3B614A01" w14:textId="77777777" w:rsidR="00E57849" w:rsidRPr="008C0697" w:rsidRDefault="00E57849" w:rsidP="00E57849">
      <w:pPr>
        <w:spacing w:after="120"/>
        <w:rPr>
          <w:rFonts w:asciiTheme="minorHAnsi" w:hAnsiTheme="minorHAnsi"/>
          <w:sz w:val="18"/>
          <w:szCs w:val="24"/>
          <w:lang w:eastAsia="en-GB"/>
        </w:rPr>
      </w:pPr>
      <w:r w:rsidRPr="008C0697">
        <w:rPr>
          <w:rFonts w:asciiTheme="minorHAnsi" w:hAnsiTheme="minorHAnsi"/>
          <w:sz w:val="18"/>
          <w:szCs w:val="24"/>
          <w:lang w:eastAsia="en-GB"/>
        </w:rPr>
        <w:t>This is an area of active legislative change and judicial review. In January and February 2017, 17 state legislatures introduced measures like the ones discussed in this report. These proposals come amidst an onslaught of measures designed to limit access to sexual and reproductive healthcare and a presidential administration that has ushered in a backlash against human rights, particularly those related to women’s bodily integrity and sexual and reproductive freedom.</w:t>
      </w:r>
    </w:p>
    <w:p w14:paraId="1E60E906" w14:textId="23FAD25E" w:rsidR="00E57849" w:rsidRPr="008C0697" w:rsidRDefault="00E57849" w:rsidP="00E57849">
      <w:pPr>
        <w:spacing w:after="120"/>
        <w:rPr>
          <w:rFonts w:asciiTheme="minorHAnsi" w:hAnsiTheme="minorHAnsi"/>
          <w:sz w:val="18"/>
          <w:szCs w:val="24"/>
          <w:lang w:eastAsia="en-GB"/>
        </w:rPr>
      </w:pPr>
      <w:r w:rsidRPr="008C0697">
        <w:rPr>
          <w:rFonts w:asciiTheme="minorHAnsi" w:hAnsiTheme="minorHAnsi"/>
          <w:sz w:val="18"/>
          <w:szCs w:val="24"/>
          <w:lang w:eastAsia="en-GB"/>
        </w:rPr>
        <w:t>Laws policing pregnant women’s actions and circumstances are collectively referred to as “pregnancy criminalization laws” throughout this report. The report provides a basic overview of the implications of these laws on women’s human rights and access to pregnancy related healthcare across the USA and focuses on specific criminal laws in two states</w:t>
      </w:r>
      <w:r w:rsidR="008C0697">
        <w:rPr>
          <w:rFonts w:asciiTheme="minorHAnsi" w:hAnsiTheme="minorHAnsi"/>
          <w:sz w:val="18"/>
          <w:szCs w:val="24"/>
          <w:lang w:eastAsia="en-GB"/>
        </w:rPr>
        <w:t>:</w:t>
      </w:r>
      <w:r w:rsidRPr="008C0697">
        <w:rPr>
          <w:rFonts w:asciiTheme="minorHAnsi" w:hAnsiTheme="minorHAnsi"/>
          <w:sz w:val="18"/>
          <w:szCs w:val="24"/>
          <w:lang w:eastAsia="en-GB"/>
        </w:rPr>
        <w:t xml:space="preserve"> Alabama and Tennessee.</w:t>
      </w:r>
    </w:p>
    <w:p w14:paraId="06D85643" w14:textId="77777777" w:rsidR="00E57849" w:rsidRPr="00716EFE" w:rsidRDefault="00E57849" w:rsidP="00E57849">
      <w:pPr>
        <w:spacing w:after="120"/>
        <w:rPr>
          <w:rFonts w:ascii="Amnesty Trade Gothic Light" w:eastAsia="MS Mincho" w:hAnsi="Amnesty Trade Gothic Light"/>
          <w:lang w:eastAsia="en-GB"/>
        </w:rPr>
      </w:pPr>
    </w:p>
    <w:p w14:paraId="3471FBF7" w14:textId="16A6EB61" w:rsidR="00E57849" w:rsidRPr="00716EFE" w:rsidRDefault="00E57849" w:rsidP="00E57849">
      <w:pPr>
        <w:keepNext/>
        <w:tabs>
          <w:tab w:val="left" w:pos="851"/>
        </w:tabs>
        <w:spacing w:before="360" w:after="113" w:line="320" w:lineRule="exact"/>
        <w:contextualSpacing/>
        <w:outlineLvl w:val="2"/>
        <w:rPr>
          <w:rFonts w:ascii="Amnesty Trade Gothic Cn" w:eastAsia="MS Mincho" w:hAnsi="Amnesty Trade Gothic Cn"/>
          <w:b/>
          <w:caps/>
          <w:sz w:val="32"/>
          <w:lang w:eastAsia="en-GB"/>
        </w:rPr>
      </w:pPr>
      <w:r w:rsidRPr="00716EFE">
        <w:rPr>
          <w:rFonts w:ascii="Amnesty Trade Gothic Cn" w:eastAsia="MS Mincho" w:hAnsi="Amnesty Trade Gothic Cn"/>
          <w:b/>
          <w:caps/>
          <w:sz w:val="32"/>
          <w:lang w:eastAsia="en-GB"/>
        </w:rPr>
        <w:lastRenderedPageBreak/>
        <w:t xml:space="preserve">TENNESSEE’S </w:t>
      </w:r>
      <w:r w:rsidR="00D62992">
        <w:rPr>
          <w:rFonts w:ascii="Amnesty Trade Gothic Cn" w:eastAsia="MS Mincho" w:hAnsi="Amnesty Trade Gothic Cn"/>
          <w:b/>
          <w:caps/>
          <w:sz w:val="32"/>
          <w:lang w:eastAsia="en-GB"/>
        </w:rPr>
        <w:t>“</w:t>
      </w:r>
      <w:r w:rsidRPr="00716EFE">
        <w:rPr>
          <w:rFonts w:ascii="Amnesty Trade Gothic Cn" w:eastAsia="MS Mincho" w:hAnsi="Amnesty Trade Gothic Cn"/>
          <w:b/>
          <w:caps/>
          <w:sz w:val="32"/>
          <w:lang w:eastAsia="en-GB"/>
        </w:rPr>
        <w:t>FETAL ASSAULT</w:t>
      </w:r>
      <w:r w:rsidR="00D62992">
        <w:rPr>
          <w:rFonts w:ascii="Amnesty Trade Gothic Cn" w:eastAsia="MS Mincho" w:hAnsi="Amnesty Trade Gothic Cn"/>
          <w:b/>
          <w:caps/>
          <w:sz w:val="32"/>
          <w:lang w:eastAsia="en-GB"/>
        </w:rPr>
        <w:t>”</w:t>
      </w:r>
      <w:r w:rsidRPr="00716EFE">
        <w:rPr>
          <w:rFonts w:ascii="Amnesty Trade Gothic Cn" w:eastAsia="MS Mincho" w:hAnsi="Amnesty Trade Gothic Cn"/>
          <w:b/>
          <w:caps/>
          <w:sz w:val="32"/>
          <w:lang w:eastAsia="en-GB"/>
        </w:rPr>
        <w:t xml:space="preserve"> LAW</w:t>
      </w:r>
    </w:p>
    <w:p w14:paraId="13DC1258" w14:textId="5E0E2743" w:rsidR="00E57849" w:rsidRPr="008C0697" w:rsidRDefault="00E57849" w:rsidP="00E57849">
      <w:pPr>
        <w:spacing w:after="120"/>
        <w:rPr>
          <w:rFonts w:asciiTheme="minorHAnsi" w:hAnsiTheme="minorHAnsi"/>
          <w:sz w:val="18"/>
          <w:szCs w:val="24"/>
          <w:lang w:eastAsia="en-GB"/>
        </w:rPr>
      </w:pPr>
      <w:r w:rsidRPr="008C0697">
        <w:rPr>
          <w:rFonts w:asciiTheme="minorHAnsi" w:hAnsiTheme="minorHAnsi"/>
          <w:sz w:val="18"/>
          <w:szCs w:val="24"/>
          <w:lang w:eastAsia="en-GB"/>
        </w:rPr>
        <w:t>In April 2014, Tennessee amended its “fetal assault” law, becoming the first state to introduce a criminal law explicitly making it a crime to give birth to a child showing symptoms of prenatal exposure to narcotics. Beyond this, any unlawful act or omission a pregnant woman engaged in had the potential to be considered an assault against her own embryo or fetus. About 100 women have been charged under the “fetal assault” law since 2014, mostly in rural eastern Tennessee, an area severely lacking in drug treatment facilities, and in Memphis, a majority African</w:t>
      </w:r>
      <w:r w:rsidR="008C0697">
        <w:rPr>
          <w:rFonts w:asciiTheme="minorHAnsi" w:hAnsiTheme="minorHAnsi"/>
          <w:sz w:val="18"/>
          <w:szCs w:val="24"/>
          <w:lang w:eastAsia="en-GB"/>
        </w:rPr>
        <w:t>-</w:t>
      </w:r>
      <w:r w:rsidRPr="008C0697">
        <w:rPr>
          <w:rFonts w:asciiTheme="minorHAnsi" w:hAnsiTheme="minorHAnsi"/>
          <w:sz w:val="18"/>
          <w:szCs w:val="24"/>
          <w:lang w:eastAsia="en-GB"/>
        </w:rPr>
        <w:t>American city.</w:t>
      </w:r>
    </w:p>
    <w:p w14:paraId="7CB864C0" w14:textId="53F3CFA2" w:rsidR="00E57849" w:rsidRDefault="00E57849" w:rsidP="00E57849">
      <w:pPr>
        <w:spacing w:after="120"/>
        <w:rPr>
          <w:rFonts w:asciiTheme="minorHAnsi" w:hAnsiTheme="minorHAnsi"/>
          <w:sz w:val="18"/>
          <w:szCs w:val="24"/>
          <w:lang w:eastAsia="en-GB"/>
        </w:rPr>
      </w:pPr>
      <w:r w:rsidRPr="008C0697">
        <w:rPr>
          <w:rFonts w:asciiTheme="minorHAnsi" w:hAnsiTheme="minorHAnsi"/>
          <w:sz w:val="18"/>
          <w:szCs w:val="24"/>
          <w:lang w:eastAsia="en-GB"/>
        </w:rPr>
        <w:t xml:space="preserve">Tennessee’s amended “fetal assault” law contained a clause that specified the end date as </w:t>
      </w:r>
      <w:r w:rsidR="00FF5B67">
        <w:rPr>
          <w:rFonts w:asciiTheme="minorHAnsi" w:hAnsiTheme="minorHAnsi"/>
          <w:sz w:val="18"/>
          <w:szCs w:val="24"/>
          <w:lang w:eastAsia="en-GB"/>
        </w:rPr>
        <w:t xml:space="preserve">1 </w:t>
      </w:r>
      <w:r w:rsidRPr="008C0697">
        <w:rPr>
          <w:rFonts w:asciiTheme="minorHAnsi" w:hAnsiTheme="minorHAnsi"/>
          <w:sz w:val="18"/>
          <w:szCs w:val="24"/>
          <w:lang w:eastAsia="en-GB"/>
        </w:rPr>
        <w:t>July 2016. Amnesty International researched the impacts of this law during the two years in which it was in effect and contributed to local advocacy ensuring that this change to the law was not made permanent. State legislators proposed a new bill that would have eliminated the termination date in 2016, but this bill failed. However, the threat to women’s rights is ongoing. In February 2017, Tennessee introduced Senate Bill 1381, containing the same language as the previous law, illustrating that similar legislation may be reenacted.</w:t>
      </w:r>
    </w:p>
    <w:p w14:paraId="3C521683" w14:textId="77777777" w:rsidR="00FF5B67" w:rsidRPr="008C0697" w:rsidRDefault="00FF5B67" w:rsidP="00E57849">
      <w:pPr>
        <w:spacing w:after="120"/>
        <w:rPr>
          <w:rFonts w:asciiTheme="minorHAnsi" w:hAnsiTheme="minorHAnsi"/>
          <w:sz w:val="18"/>
          <w:szCs w:val="24"/>
          <w:lang w:eastAsia="en-GB"/>
        </w:rPr>
      </w:pPr>
    </w:p>
    <w:p w14:paraId="48FE0F16" w14:textId="78575EA7" w:rsidR="00E57849" w:rsidRPr="00716EFE" w:rsidRDefault="00E57849" w:rsidP="00E57849">
      <w:pPr>
        <w:keepNext/>
        <w:tabs>
          <w:tab w:val="left" w:pos="851"/>
        </w:tabs>
        <w:spacing w:before="360" w:after="113" w:line="320" w:lineRule="exact"/>
        <w:contextualSpacing/>
        <w:outlineLvl w:val="2"/>
        <w:rPr>
          <w:rFonts w:ascii="Amnesty Trade Gothic Cn" w:eastAsia="MS Mincho" w:hAnsi="Amnesty Trade Gothic Cn"/>
          <w:b/>
          <w:caps/>
          <w:sz w:val="32"/>
          <w:lang w:eastAsia="en-GB"/>
        </w:rPr>
      </w:pPr>
      <w:r w:rsidRPr="00716EFE">
        <w:rPr>
          <w:rFonts w:ascii="Amnesty Trade Gothic Cn" w:eastAsia="MS Mincho" w:hAnsi="Amnesty Trade Gothic Cn"/>
          <w:b/>
          <w:caps/>
          <w:sz w:val="32"/>
          <w:lang w:eastAsia="en-GB"/>
        </w:rPr>
        <w:t xml:space="preserve">ALABAMA’S </w:t>
      </w:r>
      <w:r w:rsidR="00D62992">
        <w:rPr>
          <w:rFonts w:ascii="Amnesty Trade Gothic Cn" w:eastAsia="MS Mincho" w:hAnsi="Amnesty Trade Gothic Cn"/>
          <w:b/>
          <w:caps/>
          <w:sz w:val="32"/>
          <w:lang w:eastAsia="en-GB"/>
        </w:rPr>
        <w:t>“</w:t>
      </w:r>
      <w:r w:rsidRPr="00716EFE">
        <w:rPr>
          <w:rFonts w:ascii="Amnesty Trade Gothic Cn" w:eastAsia="MS Mincho" w:hAnsi="Amnesty Trade Gothic Cn"/>
          <w:b/>
          <w:caps/>
          <w:sz w:val="32"/>
          <w:lang w:eastAsia="en-GB"/>
        </w:rPr>
        <w:t>CHEMICAL ENDANGERMENT</w:t>
      </w:r>
      <w:r w:rsidR="00D62992">
        <w:rPr>
          <w:rFonts w:ascii="Amnesty Trade Gothic Cn" w:eastAsia="MS Mincho" w:hAnsi="Amnesty Trade Gothic Cn"/>
          <w:b/>
          <w:caps/>
          <w:sz w:val="32"/>
          <w:lang w:eastAsia="en-GB"/>
        </w:rPr>
        <w:t>”</w:t>
      </w:r>
      <w:r w:rsidRPr="00716EFE">
        <w:rPr>
          <w:rFonts w:ascii="Amnesty Trade Gothic Cn" w:eastAsia="MS Mincho" w:hAnsi="Amnesty Trade Gothic Cn"/>
          <w:b/>
          <w:caps/>
          <w:sz w:val="32"/>
          <w:lang w:eastAsia="en-GB"/>
        </w:rPr>
        <w:t xml:space="preserve"> LAW</w:t>
      </w:r>
    </w:p>
    <w:p w14:paraId="5595AA37" w14:textId="139603F1" w:rsidR="00E57849" w:rsidRDefault="00E57849" w:rsidP="00E57849">
      <w:pPr>
        <w:spacing w:after="120"/>
        <w:rPr>
          <w:rFonts w:asciiTheme="minorHAnsi" w:hAnsiTheme="minorHAnsi"/>
          <w:sz w:val="18"/>
          <w:szCs w:val="24"/>
          <w:lang w:eastAsia="en-GB"/>
        </w:rPr>
      </w:pPr>
      <w:r w:rsidRPr="008C0697">
        <w:rPr>
          <w:rFonts w:asciiTheme="minorHAnsi" w:hAnsiTheme="minorHAnsi"/>
          <w:sz w:val="18"/>
          <w:szCs w:val="24"/>
          <w:lang w:eastAsia="en-GB"/>
        </w:rPr>
        <w:t>Alabama’s “chemical endangerment” law was passed in 2006 as a means to protect children from environments where they could be exposed to drugs or controlled substances. However, individual prosecutors and the Alabama Supreme Court have interpreted the law to apply to pregnant women themselves. We spoke to women who were arrested while they were pregnant and one who was</w:t>
      </w:r>
      <w:r w:rsidRPr="00716EFE">
        <w:rPr>
          <w:rFonts w:ascii="Amnesty Trade Gothic Light" w:eastAsia="MS Mincho" w:hAnsi="Amnesty Trade Gothic Light"/>
          <w:lang w:eastAsia="en-GB"/>
        </w:rPr>
        <w:t xml:space="preserve"> </w:t>
      </w:r>
      <w:r w:rsidRPr="008C0697">
        <w:rPr>
          <w:rFonts w:asciiTheme="minorHAnsi" w:hAnsiTheme="minorHAnsi"/>
          <w:sz w:val="18"/>
          <w:szCs w:val="24"/>
          <w:lang w:eastAsia="en-GB"/>
        </w:rPr>
        <w:t>handcuff</w:t>
      </w:r>
      <w:r w:rsidR="00FF5B67">
        <w:rPr>
          <w:rFonts w:asciiTheme="minorHAnsi" w:hAnsiTheme="minorHAnsi"/>
          <w:sz w:val="18"/>
          <w:szCs w:val="24"/>
          <w:lang w:eastAsia="en-GB"/>
        </w:rPr>
        <w:t>ed</w:t>
      </w:r>
      <w:r w:rsidRPr="008C0697">
        <w:rPr>
          <w:rFonts w:asciiTheme="minorHAnsi" w:hAnsiTheme="minorHAnsi"/>
          <w:sz w:val="18"/>
          <w:szCs w:val="24"/>
          <w:lang w:eastAsia="en-GB"/>
        </w:rPr>
        <w:t xml:space="preserve"> as she was taking her </w:t>
      </w:r>
      <w:r w:rsidR="00FF5B67">
        <w:rPr>
          <w:rFonts w:asciiTheme="minorHAnsi" w:hAnsiTheme="minorHAnsi"/>
          <w:sz w:val="18"/>
          <w:szCs w:val="24"/>
          <w:lang w:eastAsia="en-GB"/>
        </w:rPr>
        <w:t xml:space="preserve">newborn </w:t>
      </w:r>
      <w:r w:rsidRPr="008C0697">
        <w:rPr>
          <w:rFonts w:asciiTheme="minorHAnsi" w:hAnsiTheme="minorHAnsi"/>
          <w:sz w:val="18"/>
          <w:szCs w:val="24"/>
          <w:lang w:eastAsia="en-GB"/>
        </w:rPr>
        <w:t xml:space="preserve">son home from the hospital. One woman told us she was charged with “chemical endangerment” even though she was unaware she was pregnant and another was planning to get an abortion at the time she was arrested. </w:t>
      </w:r>
      <w:r w:rsidR="00FF5B67">
        <w:rPr>
          <w:rFonts w:asciiTheme="minorHAnsi" w:hAnsiTheme="minorHAnsi"/>
          <w:sz w:val="18"/>
          <w:szCs w:val="24"/>
          <w:lang w:eastAsia="en-GB"/>
        </w:rPr>
        <w:t>A</w:t>
      </w:r>
      <w:r w:rsidR="00FF5B67" w:rsidRPr="008C0697">
        <w:rPr>
          <w:rFonts w:asciiTheme="minorHAnsi" w:hAnsiTheme="minorHAnsi"/>
          <w:sz w:val="18"/>
          <w:szCs w:val="24"/>
          <w:lang w:eastAsia="en-GB"/>
        </w:rPr>
        <w:t xml:space="preserve">dvocates and researchers </w:t>
      </w:r>
      <w:r w:rsidR="00FF5B67">
        <w:rPr>
          <w:rFonts w:asciiTheme="minorHAnsi" w:hAnsiTheme="minorHAnsi"/>
          <w:sz w:val="18"/>
          <w:szCs w:val="24"/>
          <w:lang w:eastAsia="en-GB"/>
        </w:rPr>
        <w:t>have</w:t>
      </w:r>
      <w:r w:rsidR="00FF5B67" w:rsidRPr="008C0697">
        <w:rPr>
          <w:rFonts w:asciiTheme="minorHAnsi" w:hAnsiTheme="minorHAnsi"/>
          <w:sz w:val="18"/>
          <w:szCs w:val="24"/>
          <w:lang w:eastAsia="en-GB"/>
        </w:rPr>
        <w:t xml:space="preserve"> documented</w:t>
      </w:r>
      <w:r w:rsidR="00FF5B67">
        <w:rPr>
          <w:rFonts w:asciiTheme="minorHAnsi" w:hAnsiTheme="minorHAnsi"/>
          <w:sz w:val="18"/>
          <w:szCs w:val="24"/>
          <w:lang w:eastAsia="en-GB"/>
        </w:rPr>
        <w:t xml:space="preserve"> 479 </w:t>
      </w:r>
      <w:r w:rsidRPr="008C0697">
        <w:rPr>
          <w:rFonts w:asciiTheme="minorHAnsi" w:hAnsiTheme="minorHAnsi"/>
          <w:sz w:val="18"/>
          <w:szCs w:val="24"/>
          <w:lang w:eastAsia="en-GB"/>
        </w:rPr>
        <w:t>such prosecutions between 2006 and 2015, more than have been documented under any other single law.</w:t>
      </w:r>
      <w:r w:rsidR="00D95B2D">
        <w:rPr>
          <w:rFonts w:asciiTheme="minorHAnsi" w:hAnsiTheme="minorHAnsi"/>
          <w:sz w:val="18"/>
          <w:szCs w:val="24"/>
          <w:lang w:eastAsia="en-GB"/>
        </w:rPr>
        <w:t xml:space="preserve"> </w:t>
      </w:r>
      <w:r w:rsidR="005C4391">
        <w:rPr>
          <w:rFonts w:asciiTheme="minorHAnsi" w:hAnsiTheme="minorHAnsi"/>
          <w:sz w:val="18"/>
          <w:szCs w:val="24"/>
          <w:lang w:eastAsia="en-GB"/>
        </w:rPr>
        <w:t xml:space="preserve">Of these women, 89% </w:t>
      </w:r>
      <w:r w:rsidR="00D95B2D">
        <w:rPr>
          <w:rFonts w:asciiTheme="minorHAnsi" w:hAnsiTheme="minorHAnsi"/>
          <w:sz w:val="18"/>
          <w:szCs w:val="24"/>
          <w:lang w:eastAsia="en-GB"/>
        </w:rPr>
        <w:t>were unable to afford their own lawyers.</w:t>
      </w:r>
    </w:p>
    <w:p w14:paraId="7BB517D3" w14:textId="77777777" w:rsidR="00FF5B67" w:rsidRPr="00716EFE" w:rsidRDefault="00FF5B67" w:rsidP="00E57849">
      <w:pPr>
        <w:spacing w:after="120"/>
        <w:rPr>
          <w:rFonts w:ascii="Amnesty Trade Gothic Light" w:eastAsia="MS Mincho" w:hAnsi="Amnesty Trade Gothic Light"/>
          <w:lang w:eastAsia="en-GB"/>
        </w:rPr>
      </w:pPr>
    </w:p>
    <w:p w14:paraId="69AFD70C" w14:textId="7D220372" w:rsidR="00E57849" w:rsidRPr="00716EFE" w:rsidRDefault="00FF5B67" w:rsidP="00E57849">
      <w:pPr>
        <w:keepNext/>
        <w:tabs>
          <w:tab w:val="left" w:pos="851"/>
        </w:tabs>
        <w:spacing w:before="360" w:after="113" w:line="320" w:lineRule="exact"/>
        <w:contextualSpacing/>
        <w:outlineLvl w:val="2"/>
        <w:rPr>
          <w:rFonts w:ascii="Amnesty Trade Gothic Cn" w:eastAsia="MS Mincho" w:hAnsi="Amnesty Trade Gothic Cn"/>
          <w:b/>
          <w:caps/>
          <w:sz w:val="32"/>
          <w:lang w:eastAsia="en-GB"/>
        </w:rPr>
      </w:pPr>
      <w:r w:rsidRPr="00716EFE">
        <w:rPr>
          <w:rFonts w:ascii="Amnesty Trade Gothic Cn" w:eastAsia="MS Mincho" w:hAnsi="Amnesty Trade Gothic Cn"/>
          <w:b/>
          <w:caps/>
          <w:sz w:val="32"/>
          <w:lang w:eastAsia="en-GB"/>
        </w:rPr>
        <w:t xml:space="preserve">NATIONAL CONTEXT </w:t>
      </w:r>
      <w:r>
        <w:rPr>
          <w:rFonts w:ascii="Amnesty Trade Gothic Cn" w:eastAsia="MS Mincho" w:hAnsi="Amnesty Trade Gothic Cn"/>
          <w:b/>
          <w:caps/>
          <w:sz w:val="32"/>
          <w:lang w:eastAsia="en-GB"/>
        </w:rPr>
        <w:t xml:space="preserve">of </w:t>
      </w:r>
      <w:r w:rsidR="00E57849" w:rsidRPr="00716EFE">
        <w:rPr>
          <w:rFonts w:ascii="Amnesty Trade Gothic Cn" w:eastAsia="MS Mincho" w:hAnsi="Amnesty Trade Gothic Cn"/>
          <w:b/>
          <w:caps/>
          <w:sz w:val="32"/>
          <w:lang w:eastAsia="en-GB"/>
        </w:rPr>
        <w:t xml:space="preserve">PREGNANCY CRIMINALIZATION </w:t>
      </w:r>
    </w:p>
    <w:p w14:paraId="19D9C3C0" w14:textId="1D28F7AC" w:rsidR="00E57849" w:rsidRPr="008C0697" w:rsidRDefault="00E57849" w:rsidP="008C0697">
      <w:pPr>
        <w:pStyle w:val="RTBodyText"/>
        <w:rPr>
          <w:lang w:val="en-US" w:eastAsia="en-GB"/>
        </w:rPr>
      </w:pPr>
      <w:r w:rsidRPr="008C0697">
        <w:rPr>
          <w:lang w:val="en-US" w:eastAsia="en-GB"/>
        </w:rPr>
        <w:t xml:space="preserve">All of the cases discussed in this report, and the majority that have been documented by researchers and advocates, involve women who were dependent on drugs while pregnant. However, most of the state laws that criminalize pregnant women are not specific to drug use but are more general “fetal assault” laws which include fetuses within the legal definition of a “victim” of assault. Laws identifying fetuses as potential “victims” can have the effect of putting pregnant women’s rights at risk, regardless of the law’s intended purpose. Most “fetal assault” laws do not exempt pregnant women from committing crimes in relation to their own pregnancies. As a result, the laws have been used to prosecute women who miscarried or were believed to have harmed their fetus.  </w:t>
      </w:r>
    </w:p>
    <w:p w14:paraId="52374ECD" w14:textId="06A5495B" w:rsidR="00E57849" w:rsidRPr="008C0697" w:rsidRDefault="00E57849" w:rsidP="008C0697">
      <w:pPr>
        <w:pStyle w:val="RTBodyText"/>
        <w:rPr>
          <w:lang w:val="en-US" w:eastAsia="en-GB"/>
        </w:rPr>
      </w:pPr>
      <w:r w:rsidRPr="008C0697">
        <w:rPr>
          <w:lang w:val="en-US" w:eastAsia="en-GB"/>
        </w:rPr>
        <w:t xml:space="preserve">Advocacy groups and scholars have documented cases in which pregnant women have been arrested for otherwise legal activities such as refusing medical interventions including caesarean surgery or even </w:t>
      </w:r>
      <w:r w:rsidR="00FF5B67">
        <w:rPr>
          <w:lang w:val="en-US" w:eastAsia="en-GB"/>
        </w:rPr>
        <w:t xml:space="preserve">for </w:t>
      </w:r>
      <w:r w:rsidRPr="008C0697">
        <w:rPr>
          <w:lang w:val="en-US" w:eastAsia="en-GB"/>
        </w:rPr>
        <w:t xml:space="preserve">attempting suicide. For this reason, key legal advocates told </w:t>
      </w:r>
      <w:r w:rsidR="00FF5B67">
        <w:rPr>
          <w:lang w:val="en-US" w:eastAsia="en-GB"/>
        </w:rPr>
        <w:t xml:space="preserve">Amnesty International </w:t>
      </w:r>
      <w:r w:rsidRPr="008C0697">
        <w:rPr>
          <w:lang w:val="en-US" w:eastAsia="en-GB"/>
        </w:rPr>
        <w:t xml:space="preserve">that regardless of their intended aim, the laws can have the effect of punishing women for their pregnancy status. </w:t>
      </w:r>
    </w:p>
    <w:p w14:paraId="2ED6F533" w14:textId="77777777" w:rsidR="00E57849" w:rsidRPr="008C0697" w:rsidRDefault="00E57849" w:rsidP="008C0697">
      <w:pPr>
        <w:pStyle w:val="RTBodyText"/>
        <w:rPr>
          <w:lang w:val="en-US" w:eastAsia="en-GB"/>
        </w:rPr>
      </w:pPr>
      <w:r w:rsidRPr="008C0697">
        <w:rPr>
          <w:lang w:val="en-US" w:eastAsia="en-GB"/>
        </w:rPr>
        <w:t>Pregnant women may also receive more severe punishments for crimes if their embryo or fetus is considered to be a legally separate “person.” For example, driving without a seatbelt may be punishable by a small fine, but in one case in Tennessee it was considered felony “reckless endangerment” because a court interpreted a woman’s fetus as a legally separate “person.” The vague and overbroad nature of “pregnancy criminalization” laws mean that almost any behavior perceived as harmful can be criminalized, inviting discriminatory application against women in marginalized positions.</w:t>
      </w:r>
    </w:p>
    <w:p w14:paraId="0789807E" w14:textId="77777777" w:rsidR="00E57849" w:rsidRPr="008C0697" w:rsidRDefault="00E57849" w:rsidP="008C0697">
      <w:pPr>
        <w:pStyle w:val="RTBodyText"/>
        <w:rPr>
          <w:lang w:val="en-US" w:eastAsia="en-GB"/>
        </w:rPr>
      </w:pPr>
      <w:r w:rsidRPr="008C0697">
        <w:rPr>
          <w:lang w:val="en-US" w:eastAsia="en-GB"/>
        </w:rPr>
        <w:t>There is no comprehensive data on the exact number of women who have been charged with a crime related to their pregnancy. State governments do not collect this information, and even identifying these cases is complicated due to the number of different laws that may be applied. Researchers, advocates and investigative reporters told us that since 2005, approximately 500 women have been charged with “chemical endangerment” in Alabama, 100 with “fetal assault” in Tennessee, and over 100 with unlawful conduct or neglect in South Carolina. According to National Advocates for Pregnant Women (NAPW), the leading national advocacy organization working to secure the civil and human rights of pregnant women, hundreds of others across the country have also been charged.</w:t>
      </w:r>
    </w:p>
    <w:p w14:paraId="411328E1" w14:textId="13B17678" w:rsidR="00E57849" w:rsidRPr="00716EFE" w:rsidRDefault="00E57849" w:rsidP="00E57849">
      <w:pPr>
        <w:keepNext/>
        <w:tabs>
          <w:tab w:val="left" w:pos="851"/>
        </w:tabs>
        <w:spacing w:before="360" w:after="113" w:line="320" w:lineRule="exact"/>
        <w:contextualSpacing/>
        <w:outlineLvl w:val="2"/>
        <w:rPr>
          <w:rFonts w:ascii="Amnesty Trade Gothic Cn" w:eastAsia="MS Mincho" w:hAnsi="Amnesty Trade Gothic Cn"/>
          <w:b/>
          <w:caps/>
          <w:sz w:val="32"/>
          <w:lang w:eastAsia="en-GB"/>
        </w:rPr>
      </w:pPr>
      <w:r w:rsidRPr="00716EFE">
        <w:rPr>
          <w:rFonts w:ascii="Amnesty Trade Gothic Cn" w:eastAsia="MS Mincho" w:hAnsi="Amnesty Trade Gothic Cn"/>
          <w:b/>
          <w:caps/>
          <w:sz w:val="32"/>
          <w:lang w:eastAsia="en-GB"/>
        </w:rPr>
        <w:lastRenderedPageBreak/>
        <w:t xml:space="preserve">HOW </w:t>
      </w:r>
      <w:r w:rsidR="00FF5B67">
        <w:rPr>
          <w:rFonts w:ascii="Amnesty Trade Gothic Cn" w:eastAsia="MS Mincho" w:hAnsi="Amnesty Trade Gothic Cn"/>
          <w:b/>
          <w:caps/>
          <w:sz w:val="32"/>
          <w:lang w:eastAsia="en-GB"/>
        </w:rPr>
        <w:t>Amnesty International</w:t>
      </w:r>
      <w:r w:rsidR="00FF5B67" w:rsidRPr="00716EFE">
        <w:rPr>
          <w:rFonts w:ascii="Amnesty Trade Gothic Cn" w:eastAsia="MS Mincho" w:hAnsi="Amnesty Trade Gothic Cn"/>
          <w:b/>
          <w:caps/>
          <w:sz w:val="32"/>
          <w:lang w:eastAsia="en-GB"/>
        </w:rPr>
        <w:t xml:space="preserve"> </w:t>
      </w:r>
      <w:r w:rsidRPr="00716EFE">
        <w:rPr>
          <w:rFonts w:ascii="Amnesty Trade Gothic Cn" w:eastAsia="MS Mincho" w:hAnsi="Amnesty Trade Gothic Cn"/>
          <w:b/>
          <w:caps/>
          <w:sz w:val="32"/>
          <w:lang w:eastAsia="en-GB"/>
        </w:rPr>
        <w:t xml:space="preserve">CONDUCTED </w:t>
      </w:r>
      <w:r w:rsidR="00FF5B67">
        <w:rPr>
          <w:rFonts w:ascii="Amnesty Trade Gothic Cn" w:eastAsia="MS Mincho" w:hAnsi="Amnesty Trade Gothic Cn"/>
          <w:b/>
          <w:caps/>
          <w:sz w:val="32"/>
          <w:lang w:eastAsia="en-GB"/>
        </w:rPr>
        <w:t xml:space="preserve">the </w:t>
      </w:r>
      <w:r w:rsidRPr="00716EFE">
        <w:rPr>
          <w:rFonts w:ascii="Amnesty Trade Gothic Cn" w:eastAsia="MS Mincho" w:hAnsi="Amnesty Trade Gothic Cn"/>
          <w:b/>
          <w:caps/>
          <w:sz w:val="32"/>
          <w:lang w:eastAsia="en-GB"/>
        </w:rPr>
        <w:t>RESEARCH</w:t>
      </w:r>
    </w:p>
    <w:p w14:paraId="1714280B" w14:textId="34057256" w:rsidR="00E57849" w:rsidRPr="008C0697" w:rsidRDefault="00E57849" w:rsidP="008C0697">
      <w:pPr>
        <w:pStyle w:val="RTBodyText"/>
        <w:rPr>
          <w:lang w:val="en-US" w:eastAsia="en-GB"/>
        </w:rPr>
      </w:pPr>
      <w:r w:rsidRPr="008C0697">
        <w:rPr>
          <w:lang w:val="en-US" w:eastAsia="en-GB"/>
        </w:rPr>
        <w:t xml:space="preserve">Over the course of three years, Amnesty International conducted desk-based research to analyze the human rights impacts of laws and policies that criminalize pregnant women. </w:t>
      </w:r>
      <w:r w:rsidR="00FF5B67">
        <w:rPr>
          <w:lang w:val="en-US" w:eastAsia="en-GB"/>
        </w:rPr>
        <w:t xml:space="preserve">Amnesty </w:t>
      </w:r>
      <w:r w:rsidRPr="008C0697">
        <w:rPr>
          <w:lang w:val="en-US" w:eastAsia="en-GB"/>
        </w:rPr>
        <w:t xml:space="preserve">organized a series of four meetings with key national legal experts, consulted with </w:t>
      </w:r>
      <w:r w:rsidR="00C07926">
        <w:rPr>
          <w:lang w:val="en-US" w:eastAsia="en-GB"/>
        </w:rPr>
        <w:t>a</w:t>
      </w:r>
      <w:r w:rsidRPr="008C0697">
        <w:rPr>
          <w:lang w:val="en-US" w:eastAsia="en-GB"/>
        </w:rPr>
        <w:t xml:space="preserve"> Human Rights</w:t>
      </w:r>
      <w:r w:rsidR="00C07926">
        <w:rPr>
          <w:lang w:val="en-US" w:eastAsia="en-GB"/>
        </w:rPr>
        <w:t xml:space="preserve"> and</w:t>
      </w:r>
      <w:r w:rsidRPr="008C0697">
        <w:rPr>
          <w:lang w:val="en-US" w:eastAsia="en-GB"/>
        </w:rPr>
        <w:t xml:space="preserve"> Gender Justice Law Clinic and obtained pro bono assistance from a law firm to analyze a dossier of 84 cases in </w:t>
      </w:r>
      <w:r w:rsidR="00FF5B67">
        <w:rPr>
          <w:lang w:val="en-US" w:eastAsia="en-GB"/>
        </w:rPr>
        <w:t>ten</w:t>
      </w:r>
      <w:r w:rsidR="00FF5B67" w:rsidRPr="008C0697">
        <w:rPr>
          <w:lang w:val="en-US" w:eastAsia="en-GB"/>
        </w:rPr>
        <w:t xml:space="preserve"> </w:t>
      </w:r>
      <w:r w:rsidRPr="008C0697">
        <w:rPr>
          <w:lang w:val="en-US" w:eastAsia="en-GB"/>
        </w:rPr>
        <w:t xml:space="preserve">different states. </w:t>
      </w:r>
    </w:p>
    <w:p w14:paraId="4222675C" w14:textId="5C95E327" w:rsidR="00FF5B67" w:rsidRPr="008C0697" w:rsidRDefault="00E57849" w:rsidP="008C0697">
      <w:pPr>
        <w:pStyle w:val="RTBodyText"/>
        <w:rPr>
          <w:lang w:val="en-US" w:eastAsia="en-GB"/>
        </w:rPr>
      </w:pPr>
      <w:r w:rsidRPr="008C0697">
        <w:rPr>
          <w:lang w:val="en-US" w:eastAsia="en-GB"/>
        </w:rPr>
        <w:t xml:space="preserve">Amnesty International researchers conducted two field research missions to Alabama and Tennessee from </w:t>
      </w:r>
      <w:r w:rsidR="00FF5B67" w:rsidRPr="008C0697">
        <w:rPr>
          <w:lang w:val="en-US" w:eastAsia="en-GB"/>
        </w:rPr>
        <w:t xml:space="preserve">18-31 </w:t>
      </w:r>
      <w:r w:rsidRPr="008C0697">
        <w:rPr>
          <w:lang w:val="en-US" w:eastAsia="en-GB"/>
        </w:rPr>
        <w:t xml:space="preserve">January and </w:t>
      </w:r>
      <w:r w:rsidR="00FF5B67" w:rsidRPr="008C0697">
        <w:rPr>
          <w:lang w:val="en-US" w:eastAsia="en-GB"/>
        </w:rPr>
        <w:t xml:space="preserve">22-27 </w:t>
      </w:r>
      <w:r w:rsidRPr="008C0697">
        <w:rPr>
          <w:lang w:val="en-US" w:eastAsia="en-GB"/>
        </w:rPr>
        <w:t xml:space="preserve">March 2015 and a follow-up visit from </w:t>
      </w:r>
      <w:r w:rsidR="00FF5B67" w:rsidRPr="008C0697">
        <w:rPr>
          <w:lang w:val="en-US" w:eastAsia="en-GB"/>
        </w:rPr>
        <w:t xml:space="preserve">1-3 </w:t>
      </w:r>
      <w:r w:rsidRPr="008C0697">
        <w:rPr>
          <w:lang w:val="en-US" w:eastAsia="en-GB"/>
        </w:rPr>
        <w:t xml:space="preserve">October 2015. </w:t>
      </w:r>
      <w:r w:rsidR="00FF5B67">
        <w:rPr>
          <w:lang w:val="en-US" w:eastAsia="en-GB"/>
        </w:rPr>
        <w:t>Amnesty</w:t>
      </w:r>
      <w:r w:rsidRPr="008C0697">
        <w:rPr>
          <w:lang w:val="en-US" w:eastAsia="en-GB"/>
        </w:rPr>
        <w:t xml:space="preserve"> maintained ongoing communication with local advocates and conducted additional phone interviews over the course of 2016. Amnesty International conducted 20 </w:t>
      </w:r>
      <w:r w:rsidR="00FF5B67" w:rsidRPr="008C0697">
        <w:rPr>
          <w:lang w:val="en-US" w:eastAsia="en-GB"/>
        </w:rPr>
        <w:t xml:space="preserve">individual </w:t>
      </w:r>
      <w:r w:rsidRPr="008C0697">
        <w:rPr>
          <w:lang w:val="en-US" w:eastAsia="en-GB"/>
        </w:rPr>
        <w:t xml:space="preserve">in-person interviews with women impacted by relevant laws in Alabama and Tennessee and spoke to 34 women in informal focus group settings at two residential drug treatment facilities specifically for pregnant and postpartum women. The research team participated in 20 interviews and meetings with national and local NGOs, 17 interviews and meetings with state and local government officials including police, prosecutors, child welfare, drug court and public health authorities and 19 interviews with healthcare providers and employees at drug treatment facilities. </w:t>
      </w:r>
      <w:r w:rsidR="00484B7A">
        <w:rPr>
          <w:lang w:val="en-US" w:eastAsia="en-GB"/>
        </w:rPr>
        <w:t>Amnesty International</w:t>
      </w:r>
      <w:r w:rsidRPr="008C0697">
        <w:rPr>
          <w:lang w:val="en-US" w:eastAsia="en-GB"/>
        </w:rPr>
        <w:t xml:space="preserve"> sent a summary of </w:t>
      </w:r>
      <w:r w:rsidR="00484B7A">
        <w:rPr>
          <w:lang w:val="en-US" w:eastAsia="en-GB"/>
        </w:rPr>
        <w:t xml:space="preserve">their </w:t>
      </w:r>
      <w:r w:rsidRPr="008C0697">
        <w:rPr>
          <w:lang w:val="en-US" w:eastAsia="en-GB"/>
        </w:rPr>
        <w:t xml:space="preserve">findings to the Governor of Tennessee and law enforcement officials in Alabama on 25 January 2017 and requested a response. </w:t>
      </w:r>
      <w:r w:rsidR="00484B7A">
        <w:rPr>
          <w:lang w:val="en-US" w:eastAsia="en-GB"/>
        </w:rPr>
        <w:t xml:space="preserve">Amnesty </w:t>
      </w:r>
      <w:r w:rsidRPr="008C0697">
        <w:rPr>
          <w:lang w:val="en-US" w:eastAsia="en-GB"/>
        </w:rPr>
        <w:t>had not received a response at the time of publishing this report.</w:t>
      </w:r>
    </w:p>
    <w:p w14:paraId="6800BAF9" w14:textId="77777777" w:rsidR="00E57849" w:rsidRPr="00716EFE" w:rsidRDefault="00E57849" w:rsidP="00E57849">
      <w:pPr>
        <w:keepNext/>
        <w:tabs>
          <w:tab w:val="left" w:pos="851"/>
        </w:tabs>
        <w:spacing w:before="360" w:after="113" w:line="320" w:lineRule="exact"/>
        <w:contextualSpacing/>
        <w:outlineLvl w:val="2"/>
        <w:rPr>
          <w:rFonts w:ascii="Amnesty Trade Gothic Cn" w:eastAsia="MS Mincho" w:hAnsi="Amnesty Trade Gothic Cn"/>
          <w:b/>
          <w:caps/>
          <w:sz w:val="32"/>
          <w:lang w:eastAsia="en-GB"/>
        </w:rPr>
      </w:pPr>
      <w:r w:rsidRPr="00716EFE">
        <w:rPr>
          <w:rFonts w:ascii="Amnesty Trade Gothic Cn" w:eastAsia="MS Mincho" w:hAnsi="Amnesty Trade Gothic Cn"/>
          <w:b/>
          <w:caps/>
          <w:sz w:val="32"/>
          <w:lang w:eastAsia="en-GB"/>
        </w:rPr>
        <w:t xml:space="preserve">DETERRENCE FROM PRENATAL CARE  </w:t>
      </w:r>
    </w:p>
    <w:p w14:paraId="7F11D2C5" w14:textId="4E2861EF" w:rsidR="00E57849" w:rsidRPr="008C0697" w:rsidRDefault="00E57849" w:rsidP="008C0697">
      <w:pPr>
        <w:pStyle w:val="RTBodyText"/>
        <w:rPr>
          <w:lang w:val="en-US" w:eastAsia="en-GB"/>
        </w:rPr>
      </w:pPr>
      <w:r w:rsidRPr="008C0697">
        <w:rPr>
          <w:lang w:val="en-US" w:eastAsia="en-GB"/>
        </w:rPr>
        <w:t xml:space="preserve">While the government officials who promote and interpret “pregnancy criminalization” laws may be doing so with the intention of promoting maternal and infant health, the laws do not achieve this stated aim. Women in residential drug treatment centers and healthcare providers told </w:t>
      </w:r>
      <w:r w:rsidR="00484B7A">
        <w:rPr>
          <w:lang w:val="en-US" w:eastAsia="en-GB"/>
        </w:rPr>
        <w:t>Amnesty</w:t>
      </w:r>
      <w:r w:rsidRPr="008C0697">
        <w:rPr>
          <w:lang w:val="en-US" w:eastAsia="en-GB"/>
        </w:rPr>
        <w:t xml:space="preserve"> that the threat of criminal punishment for drug use during pregnancy drives pregnant women away from </w:t>
      </w:r>
      <w:r w:rsidR="00CF7C14">
        <w:rPr>
          <w:lang w:val="en-US" w:eastAsia="en-GB"/>
        </w:rPr>
        <w:t>healthcare</w:t>
      </w:r>
      <w:r w:rsidRPr="008C0697">
        <w:rPr>
          <w:lang w:val="en-US" w:eastAsia="en-GB"/>
        </w:rPr>
        <w:t xml:space="preserve">, prenatal care and even drug treatment, in violation of their right to health. </w:t>
      </w:r>
      <w:r w:rsidR="00CF7C14">
        <w:rPr>
          <w:lang w:val="en-US" w:eastAsia="en-GB"/>
        </w:rPr>
        <w:t>Healthcare</w:t>
      </w:r>
      <w:r w:rsidRPr="008C0697">
        <w:rPr>
          <w:lang w:val="en-US" w:eastAsia="en-GB"/>
        </w:rPr>
        <w:t xml:space="preserve"> providers told </w:t>
      </w:r>
      <w:r w:rsidR="00484B7A">
        <w:rPr>
          <w:lang w:val="en-US" w:eastAsia="en-GB"/>
        </w:rPr>
        <w:t xml:space="preserve">Amnesty International </w:t>
      </w:r>
      <w:r w:rsidRPr="008C0697">
        <w:rPr>
          <w:lang w:val="en-US" w:eastAsia="en-GB"/>
        </w:rPr>
        <w:t xml:space="preserve">that women were forgoing prenatal care and in some cases attempting to drive to neighboring states </w:t>
      </w:r>
      <w:r w:rsidR="00484B7A">
        <w:rPr>
          <w:lang w:val="en-US" w:eastAsia="en-GB"/>
        </w:rPr>
        <w:t xml:space="preserve">to seek medical care or give birth </w:t>
      </w:r>
      <w:r w:rsidRPr="008C0697">
        <w:rPr>
          <w:lang w:val="en-US" w:eastAsia="en-GB"/>
        </w:rPr>
        <w:t xml:space="preserve">to avoid prosecution. Zac </w:t>
      </w:r>
      <w:proofErr w:type="spellStart"/>
      <w:r w:rsidRPr="008C0697">
        <w:rPr>
          <w:lang w:val="en-US" w:eastAsia="en-GB"/>
        </w:rPr>
        <w:t>Talbott</w:t>
      </w:r>
      <w:proofErr w:type="spellEnd"/>
      <w:r w:rsidRPr="008C0697">
        <w:rPr>
          <w:lang w:val="en-US" w:eastAsia="en-GB"/>
        </w:rPr>
        <w:t xml:space="preserve">, a drug treatment advocate in East Tennessee </w:t>
      </w:r>
      <w:r w:rsidR="00484B7A">
        <w:rPr>
          <w:lang w:val="en-US" w:eastAsia="en-GB"/>
        </w:rPr>
        <w:t>said</w:t>
      </w:r>
      <w:r w:rsidRPr="008C0697">
        <w:rPr>
          <w:lang w:val="en-US" w:eastAsia="en-GB"/>
        </w:rPr>
        <w:t>:</w:t>
      </w:r>
    </w:p>
    <w:p w14:paraId="69CFDA7B" w14:textId="1E40194C" w:rsidR="00E57849" w:rsidRPr="00716EFE" w:rsidRDefault="00E57849" w:rsidP="00E57849">
      <w:pPr>
        <w:spacing w:before="100" w:after="140"/>
        <w:rPr>
          <w:rFonts w:ascii="Amnesty Trade Gothic Cn" w:eastAsia="MS Mincho" w:hAnsi="Amnesty Trade Gothic Cn"/>
          <w:b/>
          <w:sz w:val="20"/>
          <w:lang w:eastAsia="en-GB"/>
        </w:rPr>
      </w:pPr>
      <w:r w:rsidRPr="00716EFE">
        <w:rPr>
          <w:rFonts w:ascii="Amnesty Trade Gothic Cn" w:eastAsia="MS Mincho" w:hAnsi="Amnesty Trade Gothic Cn"/>
          <w:b/>
          <w:sz w:val="20"/>
          <w:lang w:eastAsia="en-GB"/>
        </w:rPr>
        <w:t xml:space="preserve">“Everybody that we’ve asked has been fearful of the </w:t>
      </w:r>
      <w:r w:rsidR="00D62992">
        <w:rPr>
          <w:rFonts w:ascii="Amnesty Trade Gothic Cn" w:eastAsia="MS Mincho" w:hAnsi="Amnesty Trade Gothic Cn"/>
          <w:b/>
          <w:sz w:val="20"/>
          <w:lang w:eastAsia="en-GB"/>
        </w:rPr>
        <w:t>‘</w:t>
      </w:r>
      <w:r w:rsidRPr="00716EFE">
        <w:rPr>
          <w:rFonts w:ascii="Amnesty Trade Gothic Cn" w:eastAsia="MS Mincho" w:hAnsi="Amnesty Trade Gothic Cn"/>
          <w:b/>
          <w:sz w:val="20"/>
          <w:lang w:eastAsia="en-GB"/>
        </w:rPr>
        <w:t>fetal assault</w:t>
      </w:r>
      <w:r w:rsidR="00D62992">
        <w:rPr>
          <w:rFonts w:ascii="Amnesty Trade Gothic Cn" w:eastAsia="MS Mincho" w:hAnsi="Amnesty Trade Gothic Cn"/>
          <w:b/>
          <w:sz w:val="20"/>
          <w:lang w:eastAsia="en-GB"/>
        </w:rPr>
        <w:t>’</w:t>
      </w:r>
      <w:r w:rsidRPr="00716EFE">
        <w:rPr>
          <w:rFonts w:ascii="Amnesty Trade Gothic Cn" w:eastAsia="MS Mincho" w:hAnsi="Amnesty Trade Gothic Cn"/>
          <w:b/>
          <w:sz w:val="20"/>
          <w:lang w:eastAsia="en-GB"/>
        </w:rPr>
        <w:t xml:space="preserve"> law. Three recent referrals to my drug treatment facility have not even sought obstetrical (OB) care. They have avoided OB care because of this law. Remember, a lot of them have past histories where their perception is that the law is not going to be their friend. They understand that there is a law. That if you deliver they are going to take your baby and throw you in jail.”</w:t>
      </w:r>
    </w:p>
    <w:p w14:paraId="65FD97E4" w14:textId="4D134876" w:rsidR="00E57849" w:rsidRPr="008C0697" w:rsidRDefault="00E57849" w:rsidP="008C0697">
      <w:pPr>
        <w:pStyle w:val="RTBodyText"/>
        <w:rPr>
          <w:lang w:val="en-US" w:eastAsia="en-GB"/>
        </w:rPr>
      </w:pPr>
      <w:r w:rsidRPr="008C0697">
        <w:rPr>
          <w:lang w:val="en-US" w:eastAsia="en-GB"/>
        </w:rPr>
        <w:t xml:space="preserve">Rather than promoting healthy pregnancies, </w:t>
      </w:r>
      <w:r w:rsidR="00484B7A">
        <w:rPr>
          <w:lang w:val="en-US" w:eastAsia="en-GB"/>
        </w:rPr>
        <w:t xml:space="preserve">Amnesty International </w:t>
      </w:r>
      <w:r w:rsidRPr="008C0697">
        <w:rPr>
          <w:lang w:val="en-US" w:eastAsia="en-GB"/>
        </w:rPr>
        <w:t xml:space="preserve">found that a criminal justice approach pushes pregnant women who are dependent on drugs to avoid healthcare. In addition to negatively impacting women’s access to healthcare, women who used drugs while pregnant told </w:t>
      </w:r>
      <w:r w:rsidR="00484B7A">
        <w:rPr>
          <w:lang w:val="en-US" w:eastAsia="en-GB"/>
        </w:rPr>
        <w:t>Amnesty</w:t>
      </w:r>
      <w:r w:rsidR="00484B7A" w:rsidRPr="008C0697">
        <w:rPr>
          <w:lang w:val="en-US" w:eastAsia="en-GB"/>
        </w:rPr>
        <w:t xml:space="preserve"> </w:t>
      </w:r>
      <w:r w:rsidRPr="008C0697">
        <w:rPr>
          <w:lang w:val="en-US" w:eastAsia="en-GB"/>
        </w:rPr>
        <w:t>that fear of punishment erodes their trust in healthcare providers. Some women feared coming into contact with the healthcare system because they had previous involvement with the child welfare system and knew they would be tested for drugs during their prenatal appointments or in the hospital at the time of delivery. Others were unaware they were being tested. Amber, a woman at a residential drug treatment center in Birmingham, Alabama told Amnesty International:</w:t>
      </w:r>
    </w:p>
    <w:p w14:paraId="4CB905A8" w14:textId="77777777" w:rsidR="00E57849" w:rsidRPr="00716EFE" w:rsidRDefault="00E57849" w:rsidP="00E57849">
      <w:pPr>
        <w:spacing w:before="100" w:after="140"/>
        <w:rPr>
          <w:rFonts w:ascii="Amnesty Trade Gothic Cn" w:eastAsia="MS Mincho" w:hAnsi="Amnesty Trade Gothic Cn"/>
          <w:b/>
          <w:sz w:val="20"/>
          <w:lang w:eastAsia="en-GB"/>
        </w:rPr>
      </w:pPr>
      <w:r w:rsidRPr="00716EFE">
        <w:rPr>
          <w:rFonts w:ascii="Amnesty Trade Gothic Cn" w:eastAsia="MS Mincho" w:hAnsi="Amnesty Trade Gothic Cn"/>
          <w:b/>
          <w:sz w:val="20"/>
          <w:lang w:eastAsia="en-GB"/>
        </w:rPr>
        <w:t xml:space="preserve">“Nope, they didn’t tell </w:t>
      </w:r>
      <w:proofErr w:type="gramStart"/>
      <w:r w:rsidRPr="00716EFE">
        <w:rPr>
          <w:rFonts w:ascii="Amnesty Trade Gothic Cn" w:eastAsia="MS Mincho" w:hAnsi="Amnesty Trade Gothic Cn"/>
          <w:b/>
          <w:sz w:val="20"/>
          <w:lang w:eastAsia="en-GB"/>
        </w:rPr>
        <w:t>me</w:t>
      </w:r>
      <w:proofErr w:type="gramEnd"/>
      <w:r w:rsidRPr="00716EFE">
        <w:rPr>
          <w:rFonts w:ascii="Amnesty Trade Gothic Cn" w:eastAsia="MS Mincho" w:hAnsi="Amnesty Trade Gothic Cn"/>
          <w:b/>
          <w:sz w:val="20"/>
          <w:lang w:eastAsia="en-GB"/>
        </w:rPr>
        <w:t xml:space="preserve"> anything about any drug tests or that I was positive for anything until the day it was time for us to leave the hospital and they told me I couldn’t take my babies with me and I’m going to jail.” </w:t>
      </w:r>
    </w:p>
    <w:p w14:paraId="711AD339" w14:textId="77CFB3ED" w:rsidR="00E57849" w:rsidRPr="008C0697" w:rsidRDefault="00E57849" w:rsidP="008C0697">
      <w:pPr>
        <w:pStyle w:val="RTBodyText"/>
        <w:rPr>
          <w:lang w:val="en-US" w:eastAsia="en-GB"/>
        </w:rPr>
      </w:pPr>
      <w:r w:rsidRPr="008C0697">
        <w:rPr>
          <w:lang w:val="en-US" w:eastAsia="en-GB"/>
        </w:rPr>
        <w:t xml:space="preserve">Alarmingly, most of the women we spoke to did not give informed consent for drug testing, interfering with the right to privacy. Some women did not know they were tested until child welfare officials informed them. Child welfare officials explained to </w:t>
      </w:r>
      <w:r w:rsidR="00484B7A">
        <w:rPr>
          <w:lang w:val="en-US" w:eastAsia="en-GB"/>
        </w:rPr>
        <w:t>Amnesty</w:t>
      </w:r>
      <w:r w:rsidR="00484B7A" w:rsidRPr="008C0697">
        <w:rPr>
          <w:lang w:val="en-US" w:eastAsia="en-GB"/>
        </w:rPr>
        <w:t xml:space="preserve"> </w:t>
      </w:r>
      <w:r w:rsidRPr="008C0697">
        <w:rPr>
          <w:lang w:val="en-US" w:eastAsia="en-GB"/>
        </w:rPr>
        <w:t xml:space="preserve">that prenatal clinics and hospitals call their offices to report positive drug tests. Child welfare officials then investigate and decide whether to open a case and whether to pass their findings on to law enforcement. According to Alabama police, prosecutors and child welfare officials, the process is not uniform and differs based on the priorities of the officials in each county. Information released by prosecutors and legal advocates in Tennessee indicates that some prosecutors were enforcing the law much more aggressively than others. </w:t>
      </w:r>
    </w:p>
    <w:p w14:paraId="2D261FB4" w14:textId="77777777" w:rsidR="00E57849" w:rsidRPr="00716EFE" w:rsidRDefault="00E57849" w:rsidP="00E57849">
      <w:pPr>
        <w:keepNext/>
        <w:tabs>
          <w:tab w:val="left" w:pos="851"/>
        </w:tabs>
        <w:spacing w:before="360" w:after="113" w:line="320" w:lineRule="exact"/>
        <w:contextualSpacing/>
        <w:outlineLvl w:val="2"/>
        <w:rPr>
          <w:rFonts w:ascii="Amnesty Trade Gothic Cn" w:eastAsia="MS Mincho" w:hAnsi="Amnesty Trade Gothic Cn"/>
          <w:b/>
          <w:caps/>
          <w:noProof/>
          <w:sz w:val="32"/>
          <w:lang w:eastAsia="en-GB"/>
        </w:rPr>
      </w:pPr>
      <w:r w:rsidRPr="00716EFE">
        <w:rPr>
          <w:rFonts w:ascii="Amnesty Trade Gothic Cn" w:eastAsia="MS Mincho" w:hAnsi="Amnesty Trade Gothic Cn"/>
          <w:b/>
          <w:caps/>
          <w:noProof/>
          <w:sz w:val="32"/>
          <w:lang w:eastAsia="en-GB"/>
        </w:rPr>
        <w:lastRenderedPageBreak/>
        <w:t xml:space="preserve">CRIMINALIZATION IN THE </w:t>
      </w:r>
      <w:r w:rsidRPr="00F2100C">
        <w:rPr>
          <w:rFonts w:ascii="Amnesty Trade Gothic Cn" w:eastAsia="MS Mincho" w:hAnsi="Amnesty Trade Gothic Cn"/>
          <w:b/>
          <w:caps/>
          <w:noProof/>
          <w:sz w:val="32"/>
          <w:lang w:eastAsia="en-GB"/>
        </w:rPr>
        <w:t>ABSEN</w:t>
      </w:r>
      <w:r w:rsidRPr="004B1902">
        <w:rPr>
          <w:rFonts w:ascii="Amnesty Trade Gothic Cn" w:eastAsia="MS Mincho" w:hAnsi="Amnesty Trade Gothic Cn"/>
          <w:b/>
          <w:caps/>
          <w:noProof/>
          <w:sz w:val="32"/>
          <w:lang w:eastAsia="en-GB"/>
        </w:rPr>
        <w:t>C</w:t>
      </w:r>
      <w:r w:rsidRPr="00F2100C">
        <w:rPr>
          <w:rFonts w:ascii="Amnesty Trade Gothic Cn" w:eastAsia="MS Mincho" w:hAnsi="Amnesty Trade Gothic Cn"/>
          <w:b/>
          <w:caps/>
          <w:noProof/>
          <w:sz w:val="32"/>
          <w:lang w:eastAsia="en-GB"/>
        </w:rPr>
        <w:t>E</w:t>
      </w:r>
      <w:r w:rsidRPr="00716EFE">
        <w:rPr>
          <w:rFonts w:ascii="Amnesty Trade Gothic Cn" w:eastAsia="MS Mincho" w:hAnsi="Amnesty Trade Gothic Cn"/>
          <w:b/>
          <w:caps/>
          <w:noProof/>
          <w:sz w:val="32"/>
          <w:lang w:eastAsia="en-GB"/>
        </w:rPr>
        <w:t xml:space="preserve"> OF DRUG TREATMENT </w:t>
      </w:r>
    </w:p>
    <w:p w14:paraId="2A9B08BF" w14:textId="233AB55D" w:rsidR="00E57849" w:rsidRPr="008C0697" w:rsidRDefault="00E57849" w:rsidP="008C0697">
      <w:pPr>
        <w:pStyle w:val="RTBodyText"/>
        <w:rPr>
          <w:lang w:val="en-US" w:eastAsia="en-GB"/>
        </w:rPr>
      </w:pPr>
      <w:r w:rsidRPr="008C0697">
        <w:rPr>
          <w:lang w:val="en-US" w:eastAsia="en-GB"/>
        </w:rPr>
        <w:t xml:space="preserve">In the context of public concern over high rates of drug dependence, </w:t>
      </w:r>
      <w:r w:rsidR="00484B7A">
        <w:rPr>
          <w:lang w:val="en-US" w:eastAsia="en-GB"/>
        </w:rPr>
        <w:t>s</w:t>
      </w:r>
      <w:r w:rsidRPr="008C0697">
        <w:rPr>
          <w:lang w:val="en-US" w:eastAsia="en-GB"/>
        </w:rPr>
        <w:t xml:space="preserve">tates are failing to provide access to healthcare services, and instead responding with punishment. The healthcare systems in both Alabama and Tennessee rank in the bottom quartile in terms of access and affordability and they have not taken steps to expand insurance coverage for low-income residents. </w:t>
      </w:r>
    </w:p>
    <w:p w14:paraId="18AB3E63" w14:textId="1E4C6FCD" w:rsidR="00E57849" w:rsidRPr="008C0697" w:rsidRDefault="00E57849" w:rsidP="008C0697">
      <w:pPr>
        <w:pStyle w:val="RTBodyText"/>
        <w:rPr>
          <w:lang w:val="en-US" w:eastAsia="en-GB"/>
        </w:rPr>
      </w:pPr>
      <w:r w:rsidRPr="008C0697">
        <w:rPr>
          <w:lang w:val="en-US" w:eastAsia="en-GB"/>
        </w:rPr>
        <w:t xml:space="preserve">Public health experts and healthcare providers described a lack of access to drug treatment facilities for pregnant women and this absence is magnified for those with low incomes and in rural areas. In Alabama, there is only one program that provides specialized, evidence-based treatment for pregnant women and postpartum women with </w:t>
      </w:r>
      <w:proofErr w:type="gramStart"/>
      <w:r w:rsidRPr="008C0697">
        <w:rPr>
          <w:lang w:val="en-US" w:eastAsia="en-GB"/>
        </w:rPr>
        <w:t>children,</w:t>
      </w:r>
      <w:proofErr w:type="gramEnd"/>
      <w:r w:rsidRPr="008C0697">
        <w:rPr>
          <w:lang w:val="en-US" w:eastAsia="en-GB"/>
        </w:rPr>
        <w:t xml:space="preserve"> accepts everyone regardless of ability to pay and does not have a waiting list. </w:t>
      </w:r>
    </w:p>
    <w:p w14:paraId="7C851BE0" w14:textId="7569DC18" w:rsidR="00E57849" w:rsidRPr="008C0697" w:rsidRDefault="00E57849" w:rsidP="008C0697">
      <w:pPr>
        <w:pStyle w:val="RTBodyText"/>
        <w:rPr>
          <w:lang w:val="en-US" w:eastAsia="en-GB"/>
        </w:rPr>
      </w:pPr>
      <w:r w:rsidRPr="008C0697">
        <w:rPr>
          <w:lang w:val="en-US" w:eastAsia="en-GB"/>
        </w:rPr>
        <w:t xml:space="preserve">In Tennessee, the state-funded insurance program for people with low incomes does not cover any of the costs of methadone maintenance treatment, considered a “standard of care” for pregnant women dependent on opioid drugs. Rather, these expenses must be borne out-of-pocket, at a price of approximately </w:t>
      </w:r>
      <w:r w:rsidR="00484B7A">
        <w:rPr>
          <w:lang w:val="en-US" w:eastAsia="en-GB"/>
        </w:rPr>
        <w:t>US</w:t>
      </w:r>
      <w:r w:rsidRPr="008C0697">
        <w:rPr>
          <w:lang w:val="en-US" w:eastAsia="en-GB"/>
        </w:rPr>
        <w:t xml:space="preserve">$4,500 per year. Healthcare providers and officials told </w:t>
      </w:r>
      <w:r w:rsidR="00484B7A">
        <w:rPr>
          <w:lang w:val="en-US" w:eastAsia="en-GB"/>
        </w:rPr>
        <w:t>Amnesty International</w:t>
      </w:r>
      <w:r w:rsidRPr="008C0697">
        <w:rPr>
          <w:lang w:val="en-US" w:eastAsia="en-GB"/>
        </w:rPr>
        <w:t xml:space="preserve"> that many women are unable to pay or travel to the closest appropriate drug treatment facility, and left without treatment as a result. Brittany, a woman who was charged under the Tennessee “fetal assault” law, said that after her arrest she tried to get into treatment for three months. She told Amnesty International:</w:t>
      </w:r>
    </w:p>
    <w:p w14:paraId="198B5E42" w14:textId="77777777" w:rsidR="00E57849" w:rsidRDefault="00E57849" w:rsidP="00E57849">
      <w:pPr>
        <w:spacing w:before="100" w:after="140"/>
        <w:rPr>
          <w:rFonts w:ascii="Amnesty Trade Gothic Cn" w:eastAsia="MS Mincho" w:hAnsi="Amnesty Trade Gothic Cn"/>
          <w:b/>
          <w:sz w:val="20"/>
          <w:lang w:eastAsia="en-GB"/>
        </w:rPr>
      </w:pPr>
      <w:r w:rsidRPr="00716EFE">
        <w:rPr>
          <w:rFonts w:ascii="Amnesty Trade Gothic Cn" w:eastAsia="MS Mincho" w:hAnsi="Amnesty Trade Gothic Cn"/>
          <w:b/>
          <w:sz w:val="20"/>
          <w:lang w:eastAsia="en-GB"/>
        </w:rPr>
        <w:t xml:space="preserve">“Nobody would take my insurance. I kept getting decline letters. </w:t>
      </w:r>
      <w:proofErr w:type="spellStart"/>
      <w:r w:rsidRPr="00716EFE">
        <w:rPr>
          <w:rFonts w:ascii="Amnesty Trade Gothic Cn" w:eastAsia="MS Mincho" w:hAnsi="Amnesty Trade Gothic Cn"/>
          <w:b/>
          <w:sz w:val="20"/>
          <w:lang w:eastAsia="en-GB"/>
        </w:rPr>
        <w:t>TennCare</w:t>
      </w:r>
      <w:proofErr w:type="spellEnd"/>
      <w:r w:rsidRPr="00716EFE">
        <w:rPr>
          <w:rFonts w:ascii="Amnesty Trade Gothic Cn" w:eastAsia="MS Mincho" w:hAnsi="Amnesty Trade Gothic Cn"/>
          <w:b/>
          <w:sz w:val="20"/>
          <w:lang w:eastAsia="en-GB"/>
        </w:rPr>
        <w:t xml:space="preserve"> [the state insurance] would send me letters saying they would let me go and pay out-of-network [to a doctor outside of the insurance plan], then they could call back and say no. I was kind of thrown away at the wayside.”</w:t>
      </w:r>
    </w:p>
    <w:p w14:paraId="772FE104" w14:textId="77777777" w:rsidR="008C0697" w:rsidRPr="00716EFE" w:rsidRDefault="008C0697" w:rsidP="00E57849">
      <w:pPr>
        <w:spacing w:before="100" w:after="140"/>
        <w:rPr>
          <w:rFonts w:ascii="Amnesty Trade Gothic Cn" w:eastAsia="MS Mincho" w:hAnsi="Amnesty Trade Gothic Cn"/>
          <w:b/>
          <w:sz w:val="20"/>
          <w:lang w:eastAsia="en-GB"/>
        </w:rPr>
      </w:pPr>
    </w:p>
    <w:p w14:paraId="12ABC373" w14:textId="77777777" w:rsidR="00E57849" w:rsidRPr="00716EFE" w:rsidRDefault="00E57849" w:rsidP="00E57849">
      <w:pPr>
        <w:keepNext/>
        <w:tabs>
          <w:tab w:val="left" w:pos="851"/>
        </w:tabs>
        <w:spacing w:before="360" w:after="113" w:line="320" w:lineRule="exact"/>
        <w:contextualSpacing/>
        <w:outlineLvl w:val="2"/>
        <w:rPr>
          <w:rFonts w:ascii="Amnesty Trade Gothic Cn" w:eastAsia="MS Mincho" w:hAnsi="Amnesty Trade Gothic Cn"/>
          <w:b/>
          <w:caps/>
          <w:noProof/>
          <w:sz w:val="32"/>
          <w:lang w:eastAsia="en-GB"/>
        </w:rPr>
      </w:pPr>
      <w:r w:rsidRPr="00716EFE">
        <w:rPr>
          <w:rFonts w:ascii="Amnesty Trade Gothic Cn" w:eastAsia="MS Mincho" w:hAnsi="Amnesty Trade Gothic Cn"/>
          <w:b/>
          <w:caps/>
          <w:noProof/>
          <w:sz w:val="32"/>
          <w:lang w:eastAsia="en-GB"/>
        </w:rPr>
        <w:t>DRUG COURT PROGRAMS AND MANDATORY TREATMENT</w:t>
      </w:r>
    </w:p>
    <w:p w14:paraId="6275D277" w14:textId="5F20C835" w:rsidR="00E57849" w:rsidRPr="008C0697" w:rsidRDefault="00E57849" w:rsidP="008C0697">
      <w:pPr>
        <w:pStyle w:val="RTBodyText"/>
        <w:rPr>
          <w:lang w:val="en-US" w:eastAsia="en-GB"/>
        </w:rPr>
      </w:pPr>
      <w:r w:rsidRPr="008C0697">
        <w:rPr>
          <w:lang w:val="en-US" w:eastAsia="en-GB"/>
        </w:rPr>
        <w:t xml:space="preserve">Almost all of the women </w:t>
      </w:r>
      <w:r w:rsidR="00484B7A">
        <w:rPr>
          <w:lang w:val="en-US" w:eastAsia="en-GB"/>
        </w:rPr>
        <w:t xml:space="preserve">Amnesty International </w:t>
      </w:r>
      <w:r w:rsidRPr="008C0697">
        <w:rPr>
          <w:lang w:val="en-US" w:eastAsia="en-GB"/>
        </w:rPr>
        <w:t xml:space="preserve">spoke to in Alabama were in residential treatment centers mandated by the terms of drug court. Drug courts are intended to offer court-supervised treatment for drug dependence as an alternative to prison for certain drug-related offenses. There is no single model, but these programs typically oversee offenders outside of jail or prison, and maintain legal authority to enforce sanctions. A law enforcement official and a counselor at one of the centers explained that they have a close working relationship. The treatment center will often negotiate with the judge to pick </w:t>
      </w:r>
      <w:r w:rsidR="006F167B">
        <w:rPr>
          <w:lang w:val="en-US" w:eastAsia="en-GB"/>
        </w:rPr>
        <w:t xml:space="preserve">up </w:t>
      </w:r>
      <w:r w:rsidRPr="008C0697">
        <w:rPr>
          <w:lang w:val="en-US" w:eastAsia="en-GB"/>
        </w:rPr>
        <w:t>women</w:t>
      </w:r>
      <w:r w:rsidR="006F167B">
        <w:rPr>
          <w:lang w:val="en-US" w:eastAsia="en-GB"/>
        </w:rPr>
        <w:t xml:space="preserve"> </w:t>
      </w:r>
      <w:r w:rsidRPr="008C0697">
        <w:rPr>
          <w:lang w:val="en-US" w:eastAsia="en-GB"/>
        </w:rPr>
        <w:t xml:space="preserve">directly from jail, and similarly, if a woman violates the terms of the treatment program, law enforcement will take her back. Prosecutors told us that judicial intervention serves as leverage to get women into treatment and rehabilitation which they would not otherwise seek. </w:t>
      </w:r>
    </w:p>
    <w:p w14:paraId="5D180834" w14:textId="280D8463" w:rsidR="00E57849" w:rsidRPr="008C0697" w:rsidRDefault="00E57849" w:rsidP="008C0697">
      <w:pPr>
        <w:pStyle w:val="RTBodyText"/>
        <w:rPr>
          <w:lang w:val="en-US" w:eastAsia="en-GB"/>
        </w:rPr>
      </w:pPr>
      <w:r w:rsidRPr="008C0697">
        <w:rPr>
          <w:lang w:val="en-US" w:eastAsia="en-GB"/>
        </w:rPr>
        <w:t>Criminal justice advocates criti</w:t>
      </w:r>
      <w:r w:rsidR="006F167B">
        <w:rPr>
          <w:lang w:val="en-US" w:eastAsia="en-GB"/>
        </w:rPr>
        <w:t>cize</w:t>
      </w:r>
      <w:r w:rsidRPr="008C0697">
        <w:rPr>
          <w:lang w:val="en-US" w:eastAsia="en-GB"/>
        </w:rPr>
        <w:t xml:space="preserve"> the fact that the model allows judges to essentially make </w:t>
      </w:r>
      <w:r w:rsidR="006F167B">
        <w:rPr>
          <w:lang w:val="en-US" w:eastAsia="en-GB"/>
        </w:rPr>
        <w:t xml:space="preserve">medical </w:t>
      </w:r>
      <w:r w:rsidRPr="008C0697">
        <w:rPr>
          <w:lang w:val="en-US" w:eastAsia="en-GB"/>
        </w:rPr>
        <w:t xml:space="preserve">treatment decisions, such as how long treatment is necessary, and what types of treatment are allowed. Several of the women </w:t>
      </w:r>
      <w:r w:rsidR="006F167B">
        <w:rPr>
          <w:lang w:val="en-US" w:eastAsia="en-GB"/>
        </w:rPr>
        <w:t>Amnesty International</w:t>
      </w:r>
      <w:r w:rsidR="006F167B" w:rsidRPr="008C0697">
        <w:rPr>
          <w:lang w:val="en-US" w:eastAsia="en-GB"/>
        </w:rPr>
        <w:t xml:space="preserve"> </w:t>
      </w:r>
      <w:r w:rsidRPr="008C0697">
        <w:rPr>
          <w:lang w:val="en-US" w:eastAsia="en-GB"/>
        </w:rPr>
        <w:t>spoke to raised concerns about the right to a fair trial</w:t>
      </w:r>
      <w:r w:rsidR="006F167B">
        <w:rPr>
          <w:lang w:val="en-US" w:eastAsia="en-GB"/>
        </w:rPr>
        <w:t>,</w:t>
      </w:r>
      <w:r w:rsidRPr="008C0697">
        <w:rPr>
          <w:lang w:val="en-US" w:eastAsia="en-GB"/>
        </w:rPr>
        <w:t xml:space="preserve"> such as inadequate legal counsel and a lack of information on their case and how long they would be in treatment through drug court.  </w:t>
      </w:r>
    </w:p>
    <w:p w14:paraId="7DFF9F15" w14:textId="77777777" w:rsidR="00E57849" w:rsidRPr="00716EFE" w:rsidRDefault="00E57849" w:rsidP="00E57849">
      <w:pPr>
        <w:spacing w:after="120"/>
        <w:rPr>
          <w:rFonts w:ascii="Amnesty Trade Gothic Light" w:eastAsia="MS Mincho" w:hAnsi="Amnesty Trade Gothic Light"/>
          <w:lang w:eastAsia="en-GB"/>
        </w:rPr>
      </w:pPr>
    </w:p>
    <w:p w14:paraId="5286F3EB" w14:textId="77777777" w:rsidR="00E57849" w:rsidRPr="00716EFE" w:rsidRDefault="00E57849" w:rsidP="00E57849">
      <w:pPr>
        <w:keepNext/>
        <w:tabs>
          <w:tab w:val="left" w:pos="851"/>
        </w:tabs>
        <w:spacing w:before="360" w:after="113" w:line="320" w:lineRule="exact"/>
        <w:contextualSpacing/>
        <w:outlineLvl w:val="2"/>
        <w:rPr>
          <w:rFonts w:ascii="Amnesty Trade Gothic Cn" w:eastAsia="MS Mincho" w:hAnsi="Amnesty Trade Gothic Cn"/>
          <w:b/>
          <w:caps/>
          <w:noProof/>
          <w:sz w:val="32"/>
          <w:lang w:eastAsia="en-GB"/>
        </w:rPr>
      </w:pPr>
      <w:r w:rsidRPr="00716EFE">
        <w:rPr>
          <w:rFonts w:ascii="Amnesty Trade Gothic Cn" w:eastAsia="MS Mincho" w:hAnsi="Amnesty Trade Gothic Cn"/>
          <w:b/>
          <w:caps/>
          <w:noProof/>
          <w:sz w:val="32"/>
          <w:lang w:eastAsia="en-GB"/>
        </w:rPr>
        <w:t>DISCRIMINATION AGAINST THOSE MOST IN NEED OF SERVICES</w:t>
      </w:r>
    </w:p>
    <w:p w14:paraId="1E4871FD" w14:textId="770041A1" w:rsidR="00E57849" w:rsidRPr="008C0697" w:rsidRDefault="00E57849" w:rsidP="008C0697">
      <w:pPr>
        <w:pStyle w:val="RTBodyText"/>
        <w:rPr>
          <w:lang w:val="en-US" w:eastAsia="en-GB"/>
        </w:rPr>
      </w:pPr>
      <w:r w:rsidRPr="008C0697">
        <w:rPr>
          <w:lang w:val="en-US" w:eastAsia="en-GB"/>
        </w:rPr>
        <w:t xml:space="preserve">The Convention on the Elimination of All Forms of Discrimination against Women is the foremost human rights treaty that calls for the elimination of all forms of discrimination against women and achievement of gender equality. The Committee on the Elimination of All Forms of Discrimination against Women, the body tasked with interpreting the Convention, has explicitly critiqued governments that criminalize </w:t>
      </w:r>
      <w:r w:rsidR="00CF7C14">
        <w:rPr>
          <w:lang w:val="en-US" w:eastAsia="en-GB"/>
        </w:rPr>
        <w:t>healthcare</w:t>
      </w:r>
      <w:r w:rsidRPr="008C0697">
        <w:rPr>
          <w:lang w:val="en-US" w:eastAsia="en-GB"/>
        </w:rPr>
        <w:t xml:space="preserve"> services that only women need and punish women for accessing such services. It has also repeatedly called on </w:t>
      </w:r>
      <w:r w:rsidR="006F167B">
        <w:rPr>
          <w:lang w:val="en-US" w:eastAsia="en-GB"/>
        </w:rPr>
        <w:t>s</w:t>
      </w:r>
      <w:r w:rsidRPr="008C0697">
        <w:rPr>
          <w:lang w:val="en-US" w:eastAsia="en-GB"/>
        </w:rPr>
        <w:t>tates to prevent gender discrimination in access to healthcare.</w:t>
      </w:r>
    </w:p>
    <w:p w14:paraId="5C49B4CD" w14:textId="14F6DB37" w:rsidR="00E57849" w:rsidRPr="008C0697" w:rsidRDefault="00E57849" w:rsidP="008C0697">
      <w:pPr>
        <w:pStyle w:val="RTBodyText"/>
        <w:rPr>
          <w:lang w:val="en-US" w:eastAsia="en-GB"/>
        </w:rPr>
      </w:pPr>
      <w:r w:rsidRPr="008C0697">
        <w:rPr>
          <w:lang w:val="en-US" w:eastAsia="en-GB"/>
        </w:rPr>
        <w:t>Laws that directly criminalize or indirectly discriminate against pregnant women violate the right to equal protection under the law without discrimination. On top of this, these laws tend to be disproportionately enforced against low-income women and women of color</w:t>
      </w:r>
      <w:r w:rsidR="006F167B">
        <w:rPr>
          <w:lang w:val="en-US" w:eastAsia="en-GB"/>
        </w:rPr>
        <w:t xml:space="preserve"> </w:t>
      </w:r>
      <w:r w:rsidRPr="008C0697">
        <w:rPr>
          <w:lang w:val="en-US" w:eastAsia="en-GB"/>
        </w:rPr>
        <w:t>- people who are often already facing multiple levels of discrimination and who may already be involved in the criminal justice or child welfare system. The effect is that certain classes of women are at heightened risk of prosecution if they become pregnant. The largest systematic study of these cases, analyzing 413 arrests and forced interventions over the course of 30 years, found that 71</w:t>
      </w:r>
      <w:r w:rsidR="006F167B">
        <w:rPr>
          <w:lang w:val="en-US" w:eastAsia="en-GB"/>
        </w:rPr>
        <w:t>%</w:t>
      </w:r>
      <w:r w:rsidRPr="008C0697">
        <w:rPr>
          <w:lang w:val="en-US" w:eastAsia="en-GB"/>
        </w:rPr>
        <w:t xml:space="preserve"> of cases were brought against low-income women who qualified for indigent defense, and 52</w:t>
      </w:r>
      <w:r w:rsidR="006F167B">
        <w:rPr>
          <w:lang w:val="en-US" w:eastAsia="en-GB"/>
        </w:rPr>
        <w:t>%</w:t>
      </w:r>
      <w:r w:rsidRPr="008C0697">
        <w:rPr>
          <w:lang w:val="en-US" w:eastAsia="en-GB"/>
        </w:rPr>
        <w:t xml:space="preserve"> of the cases were brought against African</w:t>
      </w:r>
      <w:r w:rsidR="006F167B">
        <w:rPr>
          <w:lang w:val="en-US" w:eastAsia="en-GB"/>
        </w:rPr>
        <w:t>-</w:t>
      </w:r>
      <w:r w:rsidRPr="008C0697">
        <w:rPr>
          <w:lang w:val="en-US" w:eastAsia="en-GB"/>
        </w:rPr>
        <w:t>American women.</w:t>
      </w:r>
      <w:r w:rsidR="00D95B2D">
        <w:rPr>
          <w:lang w:val="en-US" w:eastAsia="en-GB"/>
        </w:rPr>
        <w:t xml:space="preserve"> </w:t>
      </w:r>
    </w:p>
    <w:p w14:paraId="12A9F7AA" w14:textId="2829185E" w:rsidR="00E57849" w:rsidRPr="008C0697" w:rsidRDefault="00E57849" w:rsidP="008C0697">
      <w:pPr>
        <w:pStyle w:val="RTBodyText"/>
        <w:rPr>
          <w:lang w:val="en-US" w:eastAsia="en-GB"/>
        </w:rPr>
      </w:pPr>
      <w:r w:rsidRPr="008C0697">
        <w:rPr>
          <w:lang w:val="en-US" w:eastAsia="en-GB"/>
        </w:rPr>
        <w:t>Based on cases tracked by advocates in Tennessee, about a quarter of arrests occurred in Shelby County, a county that is over half African</w:t>
      </w:r>
      <w:r w:rsidR="006F167B">
        <w:rPr>
          <w:lang w:val="en-US" w:eastAsia="en-GB"/>
        </w:rPr>
        <w:t>-</w:t>
      </w:r>
      <w:r w:rsidRPr="008C0697">
        <w:rPr>
          <w:lang w:val="en-US" w:eastAsia="en-GB"/>
        </w:rPr>
        <w:t xml:space="preserve">American, and yet according to health data, has among the lowest rates of </w:t>
      </w:r>
      <w:r w:rsidRPr="008C0697">
        <w:rPr>
          <w:lang w:val="en-US" w:eastAsia="en-GB"/>
        </w:rPr>
        <w:lastRenderedPageBreak/>
        <w:t>babies born exposed to opioid drugs. Nearly all of the</w:t>
      </w:r>
      <w:r w:rsidR="00A2020F">
        <w:rPr>
          <w:lang w:val="en-US" w:eastAsia="en-GB"/>
        </w:rPr>
        <w:t xml:space="preserve"> arrested </w:t>
      </w:r>
      <w:r w:rsidRPr="008C0697">
        <w:rPr>
          <w:lang w:val="en-US" w:eastAsia="en-GB"/>
        </w:rPr>
        <w:t>women had low-incomes and qualified for indigent defense. Arrests were also concentrated in East Tennessee, a region that particularly lacks access to scientific evidence-based drug treatment facilities for pregnant women. The challenges of finding treatment and the financial burdens of overcoming an assault charge are particularly acute for women who lack financial resources.</w:t>
      </w:r>
    </w:p>
    <w:p w14:paraId="1D8EEA69" w14:textId="1AC9117D" w:rsidR="00E57849" w:rsidRPr="008C0697" w:rsidRDefault="00E57849" w:rsidP="008C0697">
      <w:pPr>
        <w:pStyle w:val="RTBodyText"/>
        <w:rPr>
          <w:lang w:val="en-US" w:eastAsia="en-GB"/>
        </w:rPr>
      </w:pPr>
      <w:r w:rsidRPr="008C0697">
        <w:rPr>
          <w:lang w:val="en-US" w:eastAsia="en-GB"/>
        </w:rPr>
        <w:t xml:space="preserve">In Alabama, enforcement rates vary widely between counties, with prosecutors holding a large degree of discretion. Child protective service workers, healthcare professionals and women involved in these systems explained that a lack of state oversight intensifies the disparate impact the “chemical endangerment” law has on low-income and marginalized women. Similarly, advocates voiced concern about the potential for discrimination in drug testing practices, which is backed up by scientific studies. Of the women </w:t>
      </w:r>
      <w:r w:rsidR="00A2020F">
        <w:rPr>
          <w:lang w:val="en-US" w:eastAsia="en-GB"/>
        </w:rPr>
        <w:t>Amnesty International</w:t>
      </w:r>
      <w:r w:rsidR="00A2020F" w:rsidRPr="008C0697">
        <w:rPr>
          <w:lang w:val="en-US" w:eastAsia="en-GB"/>
        </w:rPr>
        <w:t xml:space="preserve"> </w:t>
      </w:r>
      <w:r w:rsidRPr="008C0697">
        <w:rPr>
          <w:lang w:val="en-US" w:eastAsia="en-GB"/>
        </w:rPr>
        <w:t xml:space="preserve">interviewed, almost all came from low income backgrounds and most </w:t>
      </w:r>
      <w:r w:rsidR="00A2020F">
        <w:rPr>
          <w:lang w:val="en-US" w:eastAsia="en-GB"/>
        </w:rPr>
        <w:t>spoke</w:t>
      </w:r>
      <w:r w:rsidR="00A2020F" w:rsidRPr="008C0697">
        <w:rPr>
          <w:lang w:val="en-US" w:eastAsia="en-GB"/>
        </w:rPr>
        <w:t xml:space="preserve"> </w:t>
      </w:r>
      <w:r w:rsidRPr="008C0697">
        <w:rPr>
          <w:lang w:val="en-US" w:eastAsia="en-GB"/>
        </w:rPr>
        <w:t>about personal histories which included trauma or physical and mental health conditions.</w:t>
      </w:r>
    </w:p>
    <w:p w14:paraId="0EC373B9" w14:textId="77777777" w:rsidR="00E57849" w:rsidRPr="00716EFE" w:rsidRDefault="00E57849" w:rsidP="00E57849">
      <w:pPr>
        <w:keepNext/>
        <w:tabs>
          <w:tab w:val="left" w:pos="851"/>
        </w:tabs>
        <w:spacing w:before="360" w:after="113" w:line="320" w:lineRule="exact"/>
        <w:contextualSpacing/>
        <w:outlineLvl w:val="2"/>
        <w:rPr>
          <w:rFonts w:ascii="Amnesty Trade Gothic Cn" w:eastAsia="MS Mincho" w:hAnsi="Amnesty Trade Gothic Cn"/>
          <w:b/>
          <w:caps/>
          <w:noProof/>
          <w:sz w:val="32"/>
          <w:lang w:eastAsia="en-GB"/>
        </w:rPr>
      </w:pPr>
      <w:r w:rsidRPr="00716EFE">
        <w:rPr>
          <w:rFonts w:ascii="Amnesty Trade Gothic Cn" w:eastAsia="MS Mincho" w:hAnsi="Amnesty Trade Gothic Cn"/>
          <w:b/>
          <w:caps/>
          <w:noProof/>
          <w:sz w:val="32"/>
          <w:lang w:eastAsia="en-GB"/>
        </w:rPr>
        <w:t>CONCLUSIONS AND RECOMMENDATIONS</w:t>
      </w:r>
    </w:p>
    <w:p w14:paraId="7B3B2ECF" w14:textId="7E3A7602" w:rsidR="00E57849" w:rsidRPr="008C0697" w:rsidRDefault="00E57849" w:rsidP="008C0697">
      <w:pPr>
        <w:pStyle w:val="RTBodyText"/>
        <w:rPr>
          <w:rFonts w:ascii="Amnesty Trade Gothic Light" w:eastAsia="MS Mincho" w:hAnsi="Amnesty Trade Gothic Light"/>
          <w:lang w:val="en-US" w:eastAsia="en-GB"/>
        </w:rPr>
      </w:pPr>
      <w:r w:rsidRPr="008C0697">
        <w:rPr>
          <w:rFonts w:ascii="Amnesty Trade Gothic Light" w:eastAsia="MS Mincho" w:hAnsi="Amnesty Trade Gothic Light"/>
          <w:lang w:val="en-US" w:eastAsia="en-GB"/>
        </w:rPr>
        <w:t xml:space="preserve">In the USA, pregnant women lie at the center of a contested battleground over their sexual and reproductive rights and for some, this intersects with a stigmatizing and punitive </w:t>
      </w:r>
      <w:r w:rsidR="00A2020F">
        <w:rPr>
          <w:rFonts w:ascii="Amnesty Trade Gothic Light" w:eastAsia="MS Mincho" w:hAnsi="Amnesty Trade Gothic Light"/>
          <w:lang w:val="en-US" w:eastAsia="en-GB"/>
        </w:rPr>
        <w:t>s</w:t>
      </w:r>
      <w:r w:rsidRPr="008C0697">
        <w:rPr>
          <w:rFonts w:ascii="Amnesty Trade Gothic Light" w:eastAsia="MS Mincho" w:hAnsi="Amnesty Trade Gothic Light"/>
          <w:lang w:val="en-US" w:eastAsia="en-GB"/>
        </w:rPr>
        <w:t xml:space="preserve">tate response to drug use. However, neither the condition of pregnancy nor one’s drug </w:t>
      </w:r>
      <w:proofErr w:type="gramStart"/>
      <w:r w:rsidRPr="008C0697">
        <w:rPr>
          <w:rFonts w:ascii="Amnesty Trade Gothic Light" w:eastAsia="MS Mincho" w:hAnsi="Amnesty Trade Gothic Light"/>
          <w:lang w:val="en-US" w:eastAsia="en-GB"/>
        </w:rPr>
        <w:t>use justify</w:t>
      </w:r>
      <w:proofErr w:type="gramEnd"/>
      <w:r w:rsidRPr="008C0697">
        <w:rPr>
          <w:rFonts w:ascii="Amnesty Trade Gothic Light" w:eastAsia="MS Mincho" w:hAnsi="Amnesty Trade Gothic Light"/>
          <w:lang w:val="en-US" w:eastAsia="en-GB"/>
        </w:rPr>
        <w:t xml:space="preserve"> the violation of individuals’ human rights. Laws and policies that render women vulnerable to criminalization simply because they have become pregnant have a profound impact on the health and lives of women, their children and their families.</w:t>
      </w:r>
    </w:p>
    <w:p w14:paraId="287FBAA7" w14:textId="55C6F357" w:rsidR="00E57849" w:rsidRPr="008C0697" w:rsidRDefault="00E57849" w:rsidP="008C0697">
      <w:pPr>
        <w:pStyle w:val="RTBodyText"/>
        <w:rPr>
          <w:rFonts w:ascii="Amnesty Trade Gothic Light" w:eastAsia="MS Mincho" w:hAnsi="Amnesty Trade Gothic Light"/>
          <w:lang w:val="en-US" w:eastAsia="en-GB"/>
        </w:rPr>
      </w:pPr>
      <w:r w:rsidRPr="008C0697">
        <w:rPr>
          <w:rFonts w:ascii="Amnesty Trade Gothic Light" w:eastAsia="MS Mincho" w:hAnsi="Amnesty Trade Gothic Light"/>
          <w:lang w:val="en-US" w:eastAsia="en-GB"/>
        </w:rPr>
        <w:t xml:space="preserve">Promoting women’s health during pregnancy is a legitimate aim, but using criminal laws to promote public health goals is the wrong approach as it promotes fear and does not encourage healthy pregnancies or expand access to healthcare and other social services. Instead, punitive approaches deter women from seeking </w:t>
      </w:r>
      <w:r w:rsidR="00CF7C14">
        <w:rPr>
          <w:rFonts w:ascii="Amnesty Trade Gothic Light" w:eastAsia="MS Mincho" w:hAnsi="Amnesty Trade Gothic Light"/>
          <w:lang w:val="en-US" w:eastAsia="en-GB"/>
        </w:rPr>
        <w:t>healthcare</w:t>
      </w:r>
      <w:r w:rsidRPr="008C0697">
        <w:rPr>
          <w:rFonts w:ascii="Amnesty Trade Gothic Light" w:eastAsia="MS Mincho" w:hAnsi="Amnesty Trade Gothic Light"/>
          <w:lang w:val="en-US" w:eastAsia="en-GB"/>
        </w:rPr>
        <w:t xml:space="preserve"> services, have a discriminatory impact on marginalized individuals and effectively criminalize pregnancy for certain classes of women, violating their human rights. </w:t>
      </w:r>
    </w:p>
    <w:p w14:paraId="47287175" w14:textId="19CDD989" w:rsidR="00E57849" w:rsidRPr="008C0697" w:rsidRDefault="00E57849" w:rsidP="008C0697">
      <w:pPr>
        <w:pStyle w:val="RTBodyText"/>
        <w:rPr>
          <w:rFonts w:ascii="Amnesty Trade Gothic Light" w:eastAsia="MS Mincho" w:hAnsi="Amnesty Trade Gothic Light"/>
          <w:lang w:val="en-US" w:eastAsia="en-GB"/>
        </w:rPr>
      </w:pPr>
      <w:r w:rsidRPr="008C0697">
        <w:rPr>
          <w:rFonts w:ascii="Amnesty Trade Gothic Light" w:eastAsia="MS Mincho" w:hAnsi="Amnesty Trade Gothic Light"/>
          <w:lang w:val="en-US" w:eastAsia="en-GB"/>
        </w:rPr>
        <w:t xml:space="preserve">States have an obligation to promote the health and well-being of pregnant women through adequate maternal </w:t>
      </w:r>
      <w:r w:rsidR="00CF7C14">
        <w:rPr>
          <w:rFonts w:ascii="Amnesty Trade Gothic Light" w:eastAsia="MS Mincho" w:hAnsi="Amnesty Trade Gothic Light"/>
          <w:lang w:val="en-US" w:eastAsia="en-GB"/>
        </w:rPr>
        <w:t>healthcare</w:t>
      </w:r>
      <w:r w:rsidRPr="008C0697">
        <w:rPr>
          <w:rFonts w:ascii="Amnesty Trade Gothic Light" w:eastAsia="MS Mincho" w:hAnsi="Amnesty Trade Gothic Light"/>
          <w:lang w:val="en-US" w:eastAsia="en-GB"/>
        </w:rPr>
        <w:t xml:space="preserve">, goods and services. Pregnant women who are dependent on drugs need support and access to healthcare including evidence-based drug treatment services, which currently remain largely inaccessible to many. </w:t>
      </w:r>
    </w:p>
    <w:p w14:paraId="759578B5" w14:textId="091F2B26" w:rsidR="00E57849" w:rsidRPr="008C0697" w:rsidRDefault="00E57849" w:rsidP="008C0697">
      <w:pPr>
        <w:pStyle w:val="RTBodyText"/>
        <w:rPr>
          <w:rFonts w:ascii="Amnesty Trade Gothic Light" w:eastAsia="MS Mincho" w:hAnsi="Amnesty Trade Gothic Light"/>
          <w:lang w:val="en-US" w:eastAsia="en-GB"/>
        </w:rPr>
      </w:pPr>
      <w:r w:rsidRPr="008C0697">
        <w:rPr>
          <w:rFonts w:ascii="Amnesty Trade Gothic Light" w:eastAsia="MS Mincho" w:hAnsi="Amnesty Trade Gothic Light"/>
          <w:lang w:val="en-US" w:eastAsia="en-GB"/>
        </w:rPr>
        <w:t>States must amend or repeal laws that criminalize women for actions in relation to their own pregnancies, including drug use. States should also ensure access to affordable, scientific evidence-based, gender-appropriate drug dependence treatment and sexual and reproductive healthcare services without discrimination. Policy</w:t>
      </w:r>
      <w:r w:rsidR="00A2020F">
        <w:rPr>
          <w:rFonts w:ascii="Amnesty Trade Gothic Light" w:eastAsia="MS Mincho" w:hAnsi="Amnesty Trade Gothic Light"/>
          <w:lang w:val="en-US" w:eastAsia="en-GB"/>
        </w:rPr>
        <w:t>-</w:t>
      </w:r>
      <w:r w:rsidRPr="008C0697">
        <w:rPr>
          <w:rFonts w:ascii="Amnesty Trade Gothic Light" w:eastAsia="MS Mincho" w:hAnsi="Amnesty Trade Gothic Light"/>
          <w:lang w:val="en-US" w:eastAsia="en-GB"/>
        </w:rPr>
        <w:t xml:space="preserve">makers should issue guidelines on drug testing practices to ensure pregnant women are not tested without their knowledge or consent and their autonomy and privacy are respected. </w:t>
      </w:r>
    </w:p>
    <w:p w14:paraId="0244A47B" w14:textId="77777777" w:rsidR="00E57849" w:rsidRPr="008C0697" w:rsidRDefault="00E57849" w:rsidP="008C0697">
      <w:pPr>
        <w:pStyle w:val="RTBodyText"/>
        <w:rPr>
          <w:rFonts w:ascii="Amnesty Trade Gothic Light" w:eastAsia="MS Mincho" w:hAnsi="Amnesty Trade Gothic Light"/>
          <w:lang w:val="en-US" w:eastAsia="en-GB"/>
        </w:rPr>
      </w:pPr>
      <w:r w:rsidRPr="008C0697">
        <w:rPr>
          <w:rFonts w:ascii="Amnesty Trade Gothic Light" w:eastAsia="MS Mincho" w:hAnsi="Amnesty Trade Gothic Light"/>
          <w:lang w:val="en-US" w:eastAsia="en-GB"/>
        </w:rPr>
        <w:t xml:space="preserve">Detailed recommendations are included at the end of this report. </w:t>
      </w:r>
    </w:p>
    <w:p w14:paraId="44DB5AE3" w14:textId="77777777" w:rsidR="00E57849" w:rsidRDefault="00E57849" w:rsidP="00011D35">
      <w:pPr>
        <w:pStyle w:val="RTQuoteText"/>
        <w:rPr>
          <w:lang w:eastAsia="en-GB"/>
        </w:rPr>
      </w:pPr>
    </w:p>
    <w:p w14:paraId="2E3A88D0" w14:textId="77777777" w:rsidR="00E57849" w:rsidRDefault="00E57849" w:rsidP="00011D35">
      <w:pPr>
        <w:pStyle w:val="RTQuoteText"/>
        <w:rPr>
          <w:lang w:eastAsia="en-GB"/>
        </w:rPr>
      </w:pPr>
    </w:p>
    <w:p w14:paraId="7B0A130C" w14:textId="77777777" w:rsidR="00E57849" w:rsidRDefault="00E57849" w:rsidP="00011D35">
      <w:pPr>
        <w:pStyle w:val="RTQuoteText"/>
        <w:rPr>
          <w:lang w:eastAsia="en-GB"/>
        </w:rPr>
      </w:pPr>
    </w:p>
    <w:p w14:paraId="4C89A8D9" w14:textId="77777777" w:rsidR="00E57849" w:rsidRDefault="00E57849" w:rsidP="00011D35">
      <w:pPr>
        <w:pStyle w:val="RTQuoteText"/>
        <w:rPr>
          <w:lang w:eastAsia="en-GB"/>
        </w:rPr>
      </w:pPr>
    </w:p>
    <w:p w14:paraId="581F5F7A" w14:textId="77777777" w:rsidR="00E57849" w:rsidRDefault="00E57849" w:rsidP="00011D35">
      <w:pPr>
        <w:pStyle w:val="RTQuoteText"/>
        <w:rPr>
          <w:lang w:eastAsia="en-GB"/>
        </w:rPr>
      </w:pPr>
    </w:p>
    <w:p w14:paraId="072CBB48" w14:textId="77777777" w:rsidR="00C30826" w:rsidRDefault="00C30826" w:rsidP="00C30826">
      <w:pPr>
        <w:pStyle w:val="RTSubheadinglightCAPS"/>
        <w:rPr>
          <w:rFonts w:asciiTheme="minorHAnsi" w:hAnsiTheme="minorHAnsi"/>
          <w:sz w:val="18"/>
          <w:szCs w:val="24"/>
          <w:lang w:eastAsia="en-GB"/>
        </w:rPr>
      </w:pPr>
      <w:r>
        <w:rPr>
          <w:lang w:eastAsia="en-GB"/>
        </w:rPr>
        <w:br w:type="page"/>
      </w:r>
    </w:p>
    <w:p w14:paraId="5A196164" w14:textId="77777777" w:rsidR="002F1095" w:rsidRPr="002F1095" w:rsidRDefault="00C30826" w:rsidP="00C30826">
      <w:pPr>
        <w:pStyle w:val="RTTitlenumbered"/>
      </w:pPr>
      <w:bookmarkStart w:id="1" w:name="_Toc482741415"/>
      <w:r>
        <w:lastRenderedPageBreak/>
        <w:t>methodology</w:t>
      </w:r>
      <w:bookmarkEnd w:id="1"/>
    </w:p>
    <w:p w14:paraId="1ABA27ED" w14:textId="3048F69D" w:rsidR="00C30826" w:rsidRPr="00C30826" w:rsidRDefault="00D45DC1" w:rsidP="00C30826">
      <w:pPr>
        <w:pStyle w:val="RTBodyText"/>
        <w:rPr>
          <w:lang w:val="en-US" w:eastAsia="en-GB"/>
        </w:rPr>
      </w:pPr>
      <w:r>
        <w:rPr>
          <w:lang w:val="en-US" w:eastAsia="en-GB"/>
        </w:rPr>
        <w:t xml:space="preserve">In 2015, </w:t>
      </w:r>
      <w:r w:rsidR="00C30826" w:rsidRPr="00C30826">
        <w:rPr>
          <w:lang w:val="en-US" w:eastAsia="en-GB"/>
        </w:rPr>
        <w:t xml:space="preserve">Amnesty International conducted two field research missions in Alabama and Tennessee from January 18-31 and March 22-27, a follow-up visit </w:t>
      </w:r>
      <w:r>
        <w:rPr>
          <w:lang w:val="en-US" w:eastAsia="en-GB"/>
        </w:rPr>
        <w:t xml:space="preserve">from </w:t>
      </w:r>
      <w:r w:rsidR="00C30826" w:rsidRPr="00C30826">
        <w:rPr>
          <w:lang w:val="en-US" w:eastAsia="en-GB"/>
        </w:rPr>
        <w:t xml:space="preserve">October 1-3 and ongoing research through December 2016. The primary objectives of the missions were to learn more about the experiences of women impacted by pregnancy criminalization laws as well as </w:t>
      </w:r>
      <w:r w:rsidR="00FD0582">
        <w:rPr>
          <w:lang w:val="en-US" w:eastAsia="en-GB"/>
        </w:rPr>
        <w:t xml:space="preserve">of </w:t>
      </w:r>
      <w:r w:rsidR="00C30826" w:rsidRPr="00C30826">
        <w:rPr>
          <w:lang w:val="en-US" w:eastAsia="en-GB"/>
        </w:rPr>
        <w:t>the views of healthcare providers and law enforcement officials concerned with this issue. Amnesty International also held meetings with a range of local and national non-governmental organizations.</w:t>
      </w:r>
    </w:p>
    <w:p w14:paraId="729A6678" w14:textId="2F6345B1" w:rsidR="00C30826" w:rsidRPr="00C30826" w:rsidRDefault="00C30826" w:rsidP="00C30826">
      <w:pPr>
        <w:pStyle w:val="RTBodyText"/>
        <w:rPr>
          <w:lang w:val="en-US" w:eastAsia="en-GB"/>
        </w:rPr>
      </w:pPr>
      <w:r w:rsidRPr="00C30826">
        <w:rPr>
          <w:lang w:val="en-US" w:eastAsia="en-GB"/>
        </w:rPr>
        <w:t xml:space="preserve">In addition to extensive desk research, the research team organized a series of meetings with a group of leading legal and medical authorities across the country, consulted with </w:t>
      </w:r>
      <w:r w:rsidR="00CB35CF">
        <w:rPr>
          <w:lang w:val="en-US" w:eastAsia="en-GB"/>
        </w:rPr>
        <w:t xml:space="preserve">the CUNY Human Rights and Gender Justice </w:t>
      </w:r>
      <w:r w:rsidR="00021635">
        <w:rPr>
          <w:lang w:val="en-US" w:eastAsia="en-GB"/>
        </w:rPr>
        <w:t xml:space="preserve">Clinic </w:t>
      </w:r>
      <w:r w:rsidRPr="00C30826">
        <w:rPr>
          <w:lang w:val="en-US" w:eastAsia="en-GB"/>
        </w:rPr>
        <w:t xml:space="preserve">and obtained pro bono assistance from a law firm to compile and analyze a dossier of 84 cases in </w:t>
      </w:r>
      <w:r w:rsidR="00FD0582">
        <w:rPr>
          <w:lang w:val="en-US" w:eastAsia="en-GB"/>
        </w:rPr>
        <w:t>ten</w:t>
      </w:r>
      <w:r w:rsidRPr="00C30826">
        <w:rPr>
          <w:lang w:val="en-US" w:eastAsia="en-GB"/>
        </w:rPr>
        <w:t xml:space="preserve"> different states. </w:t>
      </w:r>
    </w:p>
    <w:p w14:paraId="2859EC5A" w14:textId="66C9F3EC" w:rsidR="00C30826" w:rsidRPr="00C30826" w:rsidRDefault="00C30826" w:rsidP="00C30826">
      <w:pPr>
        <w:pStyle w:val="RTBodyText"/>
        <w:rPr>
          <w:lang w:val="en-US" w:eastAsia="en-GB"/>
        </w:rPr>
      </w:pPr>
      <w:r w:rsidRPr="00C30826">
        <w:rPr>
          <w:lang w:val="en-US" w:eastAsia="en-GB"/>
        </w:rPr>
        <w:t>Amnesty International conducted 20 i</w:t>
      </w:r>
      <w:r>
        <w:rPr>
          <w:lang w:val="en-US" w:eastAsia="en-GB"/>
        </w:rPr>
        <w:t>ndividual interviews with women</w:t>
      </w:r>
      <w:r w:rsidR="00894BC0">
        <w:rPr>
          <w:lang w:val="en-US" w:eastAsia="en-GB"/>
        </w:rPr>
        <w:t xml:space="preserve"> </w:t>
      </w:r>
      <w:r w:rsidRPr="00C30826">
        <w:rPr>
          <w:lang w:val="en-US" w:eastAsia="en-GB"/>
        </w:rPr>
        <w:t>impacted by relevant laws in Alabama and Tennessee. These included women charged with criminal offenses such as “chemical endangerment” of a child as</w:t>
      </w:r>
      <w:r w:rsidR="00392423">
        <w:rPr>
          <w:lang w:val="en-US" w:eastAsia="en-GB"/>
        </w:rPr>
        <w:t xml:space="preserve"> well as women in family drug court and drug court</w:t>
      </w:r>
      <w:r w:rsidRPr="00C30826">
        <w:rPr>
          <w:lang w:val="en-US" w:eastAsia="en-GB"/>
        </w:rPr>
        <w:t xml:space="preserve"> programs due to sanctions from the criminal justice and child welfare systems. </w:t>
      </w:r>
      <w:r w:rsidR="00FD0582">
        <w:rPr>
          <w:lang w:val="en-US" w:eastAsia="en-GB"/>
        </w:rPr>
        <w:t xml:space="preserve">Amnesty </w:t>
      </w:r>
      <w:r w:rsidRPr="00C30826">
        <w:rPr>
          <w:lang w:val="en-US" w:eastAsia="en-GB"/>
        </w:rPr>
        <w:t>also spoke with 34 women in informal focus group settings at two residential drug treatment programs specifically for pregnant and postpartum women in Alabama and Tennessee.</w:t>
      </w:r>
    </w:p>
    <w:p w14:paraId="49D39784" w14:textId="479CA51E" w:rsidR="004F0A1E" w:rsidRDefault="00C30826" w:rsidP="00C30826">
      <w:pPr>
        <w:pStyle w:val="RTBodyText"/>
        <w:rPr>
          <w:lang w:val="en-US" w:eastAsia="en-GB"/>
        </w:rPr>
      </w:pPr>
      <w:r w:rsidRPr="00C30826">
        <w:rPr>
          <w:lang w:val="en-US" w:eastAsia="en-GB"/>
        </w:rPr>
        <w:t>The research team part</w:t>
      </w:r>
      <w:r w:rsidR="00F4256B">
        <w:rPr>
          <w:lang w:val="en-US" w:eastAsia="en-GB"/>
        </w:rPr>
        <w:t>icipated in 20</w:t>
      </w:r>
      <w:r w:rsidRPr="00C30826">
        <w:rPr>
          <w:lang w:val="en-US" w:eastAsia="en-GB"/>
        </w:rPr>
        <w:t xml:space="preserve"> interviews and meetings with NGOs and advocates around the country including women’s rights, criminal justice, reproductive rights and reproductive justice </w:t>
      </w:r>
      <w:r w:rsidR="009372DC">
        <w:rPr>
          <w:lang w:val="en-US" w:eastAsia="en-GB"/>
        </w:rPr>
        <w:t xml:space="preserve">organizations. </w:t>
      </w:r>
      <w:r w:rsidR="00AD4BB9">
        <w:rPr>
          <w:lang w:val="en-US" w:eastAsia="en-GB"/>
        </w:rPr>
        <w:t xml:space="preserve">Amnesty </w:t>
      </w:r>
      <w:r w:rsidR="009372DC">
        <w:rPr>
          <w:lang w:val="en-US" w:eastAsia="en-GB"/>
        </w:rPr>
        <w:t>interviewed a total of 19</w:t>
      </w:r>
      <w:r w:rsidRPr="00C30826">
        <w:rPr>
          <w:lang w:val="en-US" w:eastAsia="en-GB"/>
        </w:rPr>
        <w:t xml:space="preserve"> healthcare providers</w:t>
      </w:r>
      <w:r w:rsidR="009372DC">
        <w:rPr>
          <w:lang w:val="en-US" w:eastAsia="en-GB"/>
        </w:rPr>
        <w:t>, healthcare administrators and public health experts including a l</w:t>
      </w:r>
      <w:r w:rsidRPr="00C30826">
        <w:rPr>
          <w:lang w:val="en-US" w:eastAsia="en-GB"/>
        </w:rPr>
        <w:t>abor</w:t>
      </w:r>
      <w:r w:rsidR="009372DC">
        <w:rPr>
          <w:lang w:val="en-US" w:eastAsia="en-GB"/>
        </w:rPr>
        <w:t xml:space="preserve"> and delivery nurse, a neonatal intensive care unit nurse, an obstetrician/g</w:t>
      </w:r>
      <w:r w:rsidRPr="00C30826">
        <w:rPr>
          <w:lang w:val="en-US" w:eastAsia="en-GB"/>
        </w:rPr>
        <w:t>yn</w:t>
      </w:r>
      <w:r w:rsidR="009372DC">
        <w:rPr>
          <w:lang w:val="en-US" w:eastAsia="en-GB"/>
        </w:rPr>
        <w:t>ecologist, a neonatologist and</w:t>
      </w:r>
      <w:r w:rsidRPr="00C30826">
        <w:rPr>
          <w:lang w:val="en-US" w:eastAsia="en-GB"/>
        </w:rPr>
        <w:t xml:space="preserve"> drug dependence trea</w:t>
      </w:r>
      <w:r w:rsidR="009372DC">
        <w:rPr>
          <w:lang w:val="en-US" w:eastAsia="en-GB"/>
        </w:rPr>
        <w:t>tment researchers; seven of these people worked</w:t>
      </w:r>
      <w:r w:rsidRPr="00C30826">
        <w:rPr>
          <w:lang w:val="en-US" w:eastAsia="en-GB"/>
        </w:rPr>
        <w:t xml:space="preserve"> </w:t>
      </w:r>
      <w:r w:rsidR="009372DC">
        <w:rPr>
          <w:lang w:val="en-US" w:eastAsia="en-GB"/>
        </w:rPr>
        <w:t xml:space="preserve">directly </w:t>
      </w:r>
      <w:r w:rsidRPr="00C30826">
        <w:rPr>
          <w:lang w:val="en-US" w:eastAsia="en-GB"/>
        </w:rPr>
        <w:t xml:space="preserve">in </w:t>
      </w:r>
      <w:r w:rsidR="009372DC">
        <w:rPr>
          <w:lang w:val="en-US" w:eastAsia="en-GB"/>
        </w:rPr>
        <w:t xml:space="preserve">residential </w:t>
      </w:r>
      <w:r w:rsidRPr="00C30826">
        <w:rPr>
          <w:lang w:val="en-US" w:eastAsia="en-GB"/>
        </w:rPr>
        <w:t>drug dependence treatment</w:t>
      </w:r>
      <w:r w:rsidR="00F4256B">
        <w:rPr>
          <w:lang w:val="en-US" w:eastAsia="en-GB"/>
        </w:rPr>
        <w:t xml:space="preserve"> facilities</w:t>
      </w:r>
      <w:r w:rsidRPr="00C30826">
        <w:rPr>
          <w:lang w:val="en-US" w:eastAsia="en-GB"/>
        </w:rPr>
        <w:t xml:space="preserve"> </w:t>
      </w:r>
      <w:r w:rsidR="009372DC">
        <w:rPr>
          <w:lang w:val="en-US" w:eastAsia="en-GB"/>
        </w:rPr>
        <w:t>serving pregnant and postpartum women.</w:t>
      </w:r>
      <w:r w:rsidRPr="00C30826">
        <w:rPr>
          <w:lang w:val="en-US" w:eastAsia="en-GB"/>
        </w:rPr>
        <w:t xml:space="preserve"> </w:t>
      </w:r>
    </w:p>
    <w:p w14:paraId="1CCCFBC2" w14:textId="2DFA9BB7" w:rsidR="00C30826" w:rsidRPr="00C30826" w:rsidRDefault="00AD4BB9" w:rsidP="00C30826">
      <w:pPr>
        <w:pStyle w:val="RTBodyText"/>
        <w:rPr>
          <w:lang w:val="en-US" w:eastAsia="en-GB"/>
        </w:rPr>
      </w:pPr>
      <w:r>
        <w:rPr>
          <w:lang w:val="en-US" w:eastAsia="en-GB"/>
        </w:rPr>
        <w:t>Amnesty</w:t>
      </w:r>
      <w:r w:rsidR="009372DC">
        <w:rPr>
          <w:lang w:val="en-US" w:eastAsia="en-GB"/>
        </w:rPr>
        <w:t xml:space="preserve"> interviewed five criminal</w:t>
      </w:r>
      <w:r w:rsidR="00C30826" w:rsidRPr="00C30826">
        <w:rPr>
          <w:lang w:val="en-US" w:eastAsia="en-GB"/>
        </w:rPr>
        <w:t xml:space="preserve"> defense lawyers including public defenders and private attorneys. </w:t>
      </w:r>
      <w:r>
        <w:rPr>
          <w:lang w:val="en-US" w:eastAsia="en-GB"/>
        </w:rPr>
        <w:t xml:space="preserve">The research team </w:t>
      </w:r>
      <w:r w:rsidR="00C30826" w:rsidRPr="00C30826">
        <w:rPr>
          <w:lang w:val="en-US" w:eastAsia="en-GB"/>
        </w:rPr>
        <w:t>met</w:t>
      </w:r>
      <w:r>
        <w:rPr>
          <w:lang w:val="en-US" w:eastAsia="en-GB"/>
        </w:rPr>
        <w:t xml:space="preserve"> </w:t>
      </w:r>
      <w:r w:rsidR="00143E52">
        <w:rPr>
          <w:lang w:val="en-US" w:eastAsia="en-GB"/>
        </w:rPr>
        <w:t>a total of 17</w:t>
      </w:r>
      <w:r w:rsidR="00F4256B">
        <w:rPr>
          <w:lang w:val="en-US" w:eastAsia="en-GB"/>
        </w:rPr>
        <w:t xml:space="preserve"> government officials including</w:t>
      </w:r>
      <w:r w:rsidR="00C30826" w:rsidRPr="00C30826">
        <w:rPr>
          <w:lang w:val="en-US" w:eastAsia="en-GB"/>
        </w:rPr>
        <w:t xml:space="preserve"> representatives from the Tennessee Department of Ment</w:t>
      </w:r>
      <w:r w:rsidR="009372DC">
        <w:rPr>
          <w:lang w:val="en-US" w:eastAsia="en-GB"/>
        </w:rPr>
        <w:t>al Health and Substance Abuse, t</w:t>
      </w:r>
      <w:r w:rsidR="00C30826" w:rsidRPr="00C30826">
        <w:rPr>
          <w:lang w:val="en-US" w:eastAsia="en-GB"/>
        </w:rPr>
        <w:t xml:space="preserve">he Alabama Department of Human Resources, </w:t>
      </w:r>
      <w:r w:rsidR="009372DC">
        <w:rPr>
          <w:lang w:val="en-US" w:eastAsia="en-GB"/>
        </w:rPr>
        <w:t xml:space="preserve">two </w:t>
      </w:r>
      <w:r w:rsidR="00C30826" w:rsidRPr="00C30826">
        <w:rPr>
          <w:lang w:val="en-US" w:eastAsia="en-GB"/>
        </w:rPr>
        <w:t>Alabama district attorneys and a sheriff’s department</w:t>
      </w:r>
      <w:r w:rsidR="00392423">
        <w:rPr>
          <w:lang w:val="en-US" w:eastAsia="en-GB"/>
        </w:rPr>
        <w:t xml:space="preserve"> </w:t>
      </w:r>
      <w:r>
        <w:rPr>
          <w:lang w:val="en-US" w:eastAsia="en-GB"/>
        </w:rPr>
        <w:t xml:space="preserve">as well as </w:t>
      </w:r>
      <w:r w:rsidR="00392423">
        <w:rPr>
          <w:lang w:val="en-US" w:eastAsia="en-GB"/>
        </w:rPr>
        <w:t>a drug court</w:t>
      </w:r>
      <w:r w:rsidR="00143E52">
        <w:rPr>
          <w:lang w:val="en-US" w:eastAsia="en-GB"/>
        </w:rPr>
        <w:t xml:space="preserve"> judge and administrators</w:t>
      </w:r>
      <w:r w:rsidR="00C30826" w:rsidRPr="00C30826">
        <w:rPr>
          <w:lang w:val="en-US" w:eastAsia="en-GB"/>
        </w:rPr>
        <w:t xml:space="preserve">. </w:t>
      </w:r>
      <w:r>
        <w:rPr>
          <w:lang w:val="en-US" w:eastAsia="en-GB"/>
        </w:rPr>
        <w:t>Amnesty International</w:t>
      </w:r>
      <w:r w:rsidRPr="00C30826">
        <w:rPr>
          <w:lang w:val="en-US" w:eastAsia="en-GB"/>
        </w:rPr>
        <w:t xml:space="preserve"> </w:t>
      </w:r>
      <w:r w:rsidR="00C30826" w:rsidRPr="00C30826">
        <w:rPr>
          <w:lang w:val="en-US" w:eastAsia="en-GB"/>
        </w:rPr>
        <w:t xml:space="preserve">did not receive a response to all requests for interviews with lawmakers, prosecutors and other government officials. A brief summary of </w:t>
      </w:r>
      <w:r>
        <w:rPr>
          <w:lang w:val="en-US" w:eastAsia="en-GB"/>
        </w:rPr>
        <w:t>the</w:t>
      </w:r>
      <w:r w:rsidR="00C30826" w:rsidRPr="00C30826">
        <w:rPr>
          <w:lang w:val="en-US" w:eastAsia="en-GB"/>
        </w:rPr>
        <w:t xml:space="preserve"> findings were sent to public officials in Alabama and Tennessee, and </w:t>
      </w:r>
      <w:r>
        <w:rPr>
          <w:lang w:val="en-US" w:eastAsia="en-GB"/>
        </w:rPr>
        <w:t xml:space="preserve">Amnesty </w:t>
      </w:r>
      <w:r w:rsidR="00C30826" w:rsidRPr="00C30826">
        <w:rPr>
          <w:lang w:val="en-US" w:eastAsia="en-GB"/>
        </w:rPr>
        <w:t>invited a response in advance of publication.</w:t>
      </w:r>
    </w:p>
    <w:p w14:paraId="7EE30AC1" w14:textId="4C5E36D6" w:rsidR="00C30826" w:rsidRPr="00C30826" w:rsidRDefault="00C30826" w:rsidP="00C30826">
      <w:pPr>
        <w:pStyle w:val="RTBodyText"/>
        <w:rPr>
          <w:lang w:val="en-US" w:eastAsia="en-GB"/>
        </w:rPr>
      </w:pPr>
      <w:r w:rsidRPr="00C30826">
        <w:rPr>
          <w:lang w:val="en-US" w:eastAsia="en-GB"/>
        </w:rPr>
        <w:t xml:space="preserve">Identifying women </w:t>
      </w:r>
      <w:r w:rsidR="0072355B">
        <w:rPr>
          <w:lang w:val="en-US" w:eastAsia="en-GB"/>
        </w:rPr>
        <w:t xml:space="preserve">interviewees </w:t>
      </w:r>
      <w:r w:rsidRPr="00C30826">
        <w:rPr>
          <w:lang w:val="en-US" w:eastAsia="en-GB"/>
        </w:rPr>
        <w:t xml:space="preserve">impacted by the laws and policies </w:t>
      </w:r>
      <w:r w:rsidR="00AD4BB9">
        <w:rPr>
          <w:lang w:val="en-US" w:eastAsia="en-GB"/>
        </w:rPr>
        <w:t xml:space="preserve">described </w:t>
      </w:r>
      <w:r w:rsidRPr="00C30826">
        <w:rPr>
          <w:lang w:val="en-US" w:eastAsia="en-GB"/>
        </w:rPr>
        <w:t xml:space="preserve">in this report </w:t>
      </w:r>
      <w:r w:rsidR="00AD4BB9">
        <w:rPr>
          <w:lang w:val="en-US" w:eastAsia="en-GB"/>
        </w:rPr>
        <w:t>was</w:t>
      </w:r>
      <w:r w:rsidRPr="00C30826">
        <w:rPr>
          <w:lang w:val="en-US" w:eastAsia="en-GB"/>
        </w:rPr>
        <w:t xml:space="preserve"> challenging. </w:t>
      </w:r>
      <w:r w:rsidR="00AD4BB9">
        <w:rPr>
          <w:lang w:val="en-US" w:eastAsia="en-GB"/>
        </w:rPr>
        <w:t>T</w:t>
      </w:r>
      <w:r w:rsidRPr="00C30826">
        <w:rPr>
          <w:lang w:val="en-US" w:eastAsia="en-GB"/>
        </w:rPr>
        <w:t xml:space="preserve">he stigma surrounding drug use and the lack of services and support for women living in poverty and impacted by the child welfare and criminal justice systems </w:t>
      </w:r>
      <w:r w:rsidR="00AD4BB9">
        <w:rPr>
          <w:lang w:val="en-US" w:eastAsia="en-GB"/>
        </w:rPr>
        <w:t xml:space="preserve">meant that </w:t>
      </w:r>
      <w:r w:rsidRPr="00C30826">
        <w:rPr>
          <w:lang w:val="en-US" w:eastAsia="en-GB"/>
        </w:rPr>
        <w:t xml:space="preserve">many women </w:t>
      </w:r>
      <w:r w:rsidR="00AD4BB9">
        <w:rPr>
          <w:lang w:val="en-US" w:eastAsia="en-GB"/>
        </w:rPr>
        <w:t>were</w:t>
      </w:r>
      <w:r w:rsidR="00AD4BB9" w:rsidRPr="00C30826">
        <w:rPr>
          <w:lang w:val="en-US" w:eastAsia="en-GB"/>
        </w:rPr>
        <w:t xml:space="preserve"> </w:t>
      </w:r>
      <w:r w:rsidRPr="00C30826">
        <w:rPr>
          <w:lang w:val="en-US" w:eastAsia="en-GB"/>
        </w:rPr>
        <w:t xml:space="preserve">hesitant to speak out. Amnesty International located women impacted by these laws and policies by visiting drug court programs and residential drug treatment centers. Most of the interviews </w:t>
      </w:r>
      <w:r w:rsidR="00AD4BB9">
        <w:rPr>
          <w:lang w:val="en-US" w:eastAsia="en-GB"/>
        </w:rPr>
        <w:t xml:space="preserve">were </w:t>
      </w:r>
      <w:r w:rsidRPr="00C30826">
        <w:rPr>
          <w:lang w:val="en-US" w:eastAsia="en-GB"/>
        </w:rPr>
        <w:t xml:space="preserve">anonymous and </w:t>
      </w:r>
      <w:r w:rsidR="00AD4BB9">
        <w:rPr>
          <w:lang w:val="en-US" w:eastAsia="en-GB"/>
        </w:rPr>
        <w:t xml:space="preserve">Amnesty </w:t>
      </w:r>
      <w:r w:rsidR="004F0A1E">
        <w:rPr>
          <w:lang w:val="en-US" w:eastAsia="en-GB"/>
        </w:rPr>
        <w:t>uses</w:t>
      </w:r>
      <w:r w:rsidRPr="00C30826">
        <w:rPr>
          <w:lang w:val="en-US" w:eastAsia="en-GB"/>
        </w:rPr>
        <w:t xml:space="preserve"> pseudonyms </w:t>
      </w:r>
      <w:r w:rsidR="004F0A1E">
        <w:rPr>
          <w:lang w:val="en-US" w:eastAsia="en-GB"/>
        </w:rPr>
        <w:t xml:space="preserve">for most interviewees in this report </w:t>
      </w:r>
      <w:r w:rsidRPr="00C30826">
        <w:rPr>
          <w:lang w:val="en-US" w:eastAsia="en-GB"/>
        </w:rPr>
        <w:t xml:space="preserve">to protect the privacy of those who </w:t>
      </w:r>
      <w:r w:rsidR="00AD4BB9">
        <w:rPr>
          <w:lang w:val="en-US" w:eastAsia="en-GB"/>
        </w:rPr>
        <w:t xml:space="preserve">they </w:t>
      </w:r>
      <w:r w:rsidRPr="00C30826">
        <w:rPr>
          <w:lang w:val="en-US" w:eastAsia="en-GB"/>
        </w:rPr>
        <w:t>spoke with</w:t>
      </w:r>
      <w:r w:rsidR="00AD4BB9">
        <w:rPr>
          <w:lang w:val="en-US" w:eastAsia="en-GB"/>
        </w:rPr>
        <w:t>.</w:t>
      </w:r>
      <w:r w:rsidRPr="00C30826">
        <w:rPr>
          <w:lang w:val="en-US" w:eastAsia="en-GB"/>
        </w:rPr>
        <w:t xml:space="preserve">  </w:t>
      </w:r>
    </w:p>
    <w:p w14:paraId="672080AD" w14:textId="1B304055" w:rsidR="00C30826" w:rsidRDefault="00AD4BB9" w:rsidP="00C30826">
      <w:pPr>
        <w:pStyle w:val="RTBodyText"/>
        <w:rPr>
          <w:lang w:val="en-US" w:eastAsia="en-GB"/>
        </w:rPr>
      </w:pPr>
      <w:r>
        <w:rPr>
          <w:lang w:val="en-US" w:eastAsia="en-GB"/>
        </w:rPr>
        <w:t xml:space="preserve">Establishing </w:t>
      </w:r>
      <w:r w:rsidR="00C30826" w:rsidRPr="00C30826">
        <w:rPr>
          <w:lang w:val="en-US" w:eastAsia="en-GB"/>
        </w:rPr>
        <w:t xml:space="preserve">the number of arrests </w:t>
      </w:r>
      <w:r>
        <w:rPr>
          <w:lang w:val="en-US" w:eastAsia="en-GB"/>
        </w:rPr>
        <w:t xml:space="preserve">in relation to </w:t>
      </w:r>
      <w:r w:rsidR="0072355B">
        <w:rPr>
          <w:lang w:val="en-US" w:eastAsia="en-GB"/>
        </w:rPr>
        <w:t xml:space="preserve">pregnancy </w:t>
      </w:r>
      <w:r w:rsidR="00021635">
        <w:rPr>
          <w:lang w:val="en-US" w:eastAsia="en-GB"/>
        </w:rPr>
        <w:t>criminalization</w:t>
      </w:r>
      <w:r w:rsidR="0072355B">
        <w:rPr>
          <w:lang w:val="en-US" w:eastAsia="en-GB"/>
        </w:rPr>
        <w:t xml:space="preserve"> laws was </w:t>
      </w:r>
      <w:r w:rsidR="00C30826" w:rsidRPr="00C30826">
        <w:rPr>
          <w:lang w:val="en-US" w:eastAsia="en-GB"/>
        </w:rPr>
        <w:t xml:space="preserve">also challenging </w:t>
      </w:r>
      <w:r w:rsidR="0072355B">
        <w:rPr>
          <w:lang w:val="en-US" w:eastAsia="en-GB"/>
        </w:rPr>
        <w:t>as</w:t>
      </w:r>
      <w:r w:rsidR="00021635">
        <w:rPr>
          <w:lang w:val="en-US" w:eastAsia="en-GB"/>
        </w:rPr>
        <w:t xml:space="preserve"> </w:t>
      </w:r>
      <w:r w:rsidR="00C30826" w:rsidRPr="00C30826">
        <w:rPr>
          <w:lang w:val="en-US" w:eastAsia="en-GB"/>
        </w:rPr>
        <w:t xml:space="preserve">arrests occur under an array of charges and laws in each state. </w:t>
      </w:r>
      <w:r w:rsidR="00F26B19">
        <w:rPr>
          <w:lang w:val="en-US" w:eastAsia="en-GB"/>
        </w:rPr>
        <w:t>Also, s</w:t>
      </w:r>
      <w:r w:rsidR="00C30826" w:rsidRPr="00C30826">
        <w:rPr>
          <w:lang w:val="en-US" w:eastAsia="en-GB"/>
        </w:rPr>
        <w:t>tates do not provide comprehensive, publicly available data on “fetal assault” or “chemical endangerment” charges or provide sex-disaggregated data identifying how frequently the laws are applied to men, women</w:t>
      </w:r>
      <w:r w:rsidR="00C30826">
        <w:rPr>
          <w:lang w:val="en-US" w:eastAsia="en-GB"/>
        </w:rPr>
        <w:t xml:space="preserve"> and pregnant women.</w:t>
      </w:r>
      <w:r w:rsidR="00C30826" w:rsidRPr="00C30826">
        <w:rPr>
          <w:lang w:val="en-US" w:eastAsia="en-GB"/>
        </w:rPr>
        <w:t xml:space="preserve"> In addition to this, criminal cases rarely go to trial, which limits public documentation, and reports to the child welfare system are protected by confidentiality provisions. Most personal medical information is also covered under federal privacy guidelines.</w:t>
      </w:r>
    </w:p>
    <w:p w14:paraId="479512F1" w14:textId="26F82AC2" w:rsidR="00894BC0" w:rsidRPr="00C30826" w:rsidRDefault="00894BC0" w:rsidP="00C30826">
      <w:pPr>
        <w:pStyle w:val="RTBodyText"/>
        <w:rPr>
          <w:lang w:val="en-US" w:eastAsia="en-GB"/>
        </w:rPr>
      </w:pPr>
      <w:r w:rsidRPr="00894BC0">
        <w:rPr>
          <w:lang w:val="en-US" w:eastAsia="en-GB"/>
        </w:rPr>
        <w:lastRenderedPageBreak/>
        <w:t xml:space="preserve">Throughout this report, Amnesty International refers to “women” in discussing the impact of laws that criminalize actions during pregnancy. Although </w:t>
      </w:r>
      <w:r>
        <w:rPr>
          <w:lang w:val="en-US" w:eastAsia="en-GB"/>
        </w:rPr>
        <w:t>cisgender women</w:t>
      </w:r>
      <w:r>
        <w:rPr>
          <w:lang w:val="en-US" w:eastAsia="en-GB"/>
        </w:rPr>
        <w:softHyphen/>
      </w:r>
      <w:r w:rsidRPr="00894BC0">
        <w:rPr>
          <w:lang w:val="en-US" w:eastAsia="en-GB"/>
        </w:rPr>
        <w:t xml:space="preserve"> – who were </w:t>
      </w:r>
      <w:r>
        <w:rPr>
          <w:lang w:val="en-US" w:eastAsia="en-GB"/>
        </w:rPr>
        <w:t>identified as</w:t>
      </w:r>
      <w:r w:rsidRPr="00894BC0">
        <w:rPr>
          <w:lang w:val="en-US" w:eastAsia="en-GB"/>
        </w:rPr>
        <w:t xml:space="preserve"> female </w:t>
      </w:r>
      <w:r>
        <w:rPr>
          <w:lang w:val="en-US" w:eastAsia="en-GB"/>
        </w:rPr>
        <w:t xml:space="preserve">at birth </w:t>
      </w:r>
      <w:r w:rsidRPr="00894BC0">
        <w:rPr>
          <w:lang w:val="en-US" w:eastAsia="en-GB"/>
        </w:rPr>
        <w:t xml:space="preserve">and </w:t>
      </w:r>
      <w:r>
        <w:rPr>
          <w:lang w:val="en-US" w:eastAsia="en-GB"/>
        </w:rPr>
        <w:t xml:space="preserve">who </w:t>
      </w:r>
      <w:r w:rsidRPr="00894BC0">
        <w:rPr>
          <w:lang w:val="en-US" w:eastAsia="en-GB"/>
        </w:rPr>
        <w:t xml:space="preserve">identify as female – </w:t>
      </w:r>
      <w:r>
        <w:rPr>
          <w:lang w:val="en-US" w:eastAsia="en-GB"/>
        </w:rPr>
        <w:t xml:space="preserve">make up the majority of experiences with pregnancy criminalization, </w:t>
      </w:r>
      <w:r w:rsidRPr="00894BC0">
        <w:rPr>
          <w:lang w:val="en-US" w:eastAsia="en-GB"/>
        </w:rPr>
        <w:t xml:space="preserve">transgender men and people who identify as neither men nor women may </w:t>
      </w:r>
      <w:r>
        <w:rPr>
          <w:lang w:val="en-US" w:eastAsia="en-GB"/>
        </w:rPr>
        <w:t xml:space="preserve">also </w:t>
      </w:r>
      <w:r w:rsidRPr="00894BC0">
        <w:rPr>
          <w:lang w:val="en-US" w:eastAsia="en-GB"/>
        </w:rPr>
        <w:t xml:space="preserve">have the reproductive capacity to become pregnant and </w:t>
      </w:r>
      <w:r>
        <w:rPr>
          <w:lang w:val="en-US" w:eastAsia="en-GB"/>
        </w:rPr>
        <w:t>are also</w:t>
      </w:r>
      <w:r w:rsidRPr="00894BC0">
        <w:rPr>
          <w:lang w:val="en-US" w:eastAsia="en-GB"/>
        </w:rPr>
        <w:t xml:space="preserve"> impacted by pregnancy criminalization laws. Amnesty International did not in the course of </w:t>
      </w:r>
      <w:proofErr w:type="gramStart"/>
      <w:r w:rsidRPr="00894BC0">
        <w:rPr>
          <w:lang w:val="en-US" w:eastAsia="en-GB"/>
        </w:rPr>
        <w:t>this research interview individuals</w:t>
      </w:r>
      <w:proofErr w:type="gramEnd"/>
      <w:r w:rsidRPr="00894BC0">
        <w:rPr>
          <w:lang w:val="en-US" w:eastAsia="en-GB"/>
        </w:rPr>
        <w:t xml:space="preserve"> with these gender identities</w:t>
      </w:r>
      <w:r>
        <w:rPr>
          <w:lang w:val="en-US" w:eastAsia="en-GB"/>
        </w:rPr>
        <w:t>;</w:t>
      </w:r>
      <w:r w:rsidRPr="00894BC0">
        <w:rPr>
          <w:lang w:val="en-US" w:eastAsia="en-GB"/>
        </w:rPr>
        <w:t xml:space="preserve"> as a result, this report does not reflect any experience they may have had with pregnancy criminalization laws.</w:t>
      </w:r>
    </w:p>
    <w:p w14:paraId="64F562B5" w14:textId="2D1A946C" w:rsidR="00070D90" w:rsidRDefault="00C30826" w:rsidP="00C30826">
      <w:pPr>
        <w:pStyle w:val="RTBodyText"/>
        <w:rPr>
          <w:lang w:val="en-US" w:eastAsia="en-GB"/>
        </w:rPr>
      </w:pPr>
      <w:r w:rsidRPr="00C30826">
        <w:rPr>
          <w:lang w:val="en-US" w:eastAsia="en-GB"/>
        </w:rPr>
        <w:t xml:space="preserve">Amnesty International wishes to thank all of the women who shared their experiences </w:t>
      </w:r>
      <w:r w:rsidR="008E0833">
        <w:rPr>
          <w:lang w:val="en-US" w:eastAsia="en-GB"/>
        </w:rPr>
        <w:t xml:space="preserve">and knowledge </w:t>
      </w:r>
      <w:r w:rsidRPr="00C30826">
        <w:rPr>
          <w:lang w:val="en-US" w:eastAsia="en-GB"/>
        </w:rPr>
        <w:t xml:space="preserve">as well as the </w:t>
      </w:r>
      <w:r w:rsidR="00CF7C14">
        <w:rPr>
          <w:lang w:val="en-US" w:eastAsia="en-GB"/>
        </w:rPr>
        <w:t>healthcare</w:t>
      </w:r>
      <w:r w:rsidRPr="00C30826">
        <w:rPr>
          <w:lang w:val="en-US" w:eastAsia="en-GB"/>
        </w:rPr>
        <w:t xml:space="preserve"> providers and NGOs who shared their expertise and time. Amnesty International is particularly grateful for the assistance of Healthy and Free Tennessee, National Advocates for Pregnant Women, </w:t>
      </w:r>
      <w:r w:rsidR="001B677B">
        <w:rPr>
          <w:lang w:val="en-US" w:eastAsia="en-GB"/>
        </w:rPr>
        <w:t xml:space="preserve">The Vance Center for International Justice, the CUNY Gender Justice and Human Rights Clinic, </w:t>
      </w:r>
      <w:r w:rsidRPr="00C30826">
        <w:rPr>
          <w:lang w:val="en-US" w:eastAsia="en-GB"/>
        </w:rPr>
        <w:t>Ralph Hendrix, Lisa Sherman-</w:t>
      </w:r>
      <w:proofErr w:type="spellStart"/>
      <w:r w:rsidRPr="00C30826">
        <w:rPr>
          <w:lang w:val="en-US" w:eastAsia="en-GB"/>
        </w:rPr>
        <w:t>Nikolaus</w:t>
      </w:r>
      <w:proofErr w:type="spellEnd"/>
      <w:r w:rsidRPr="00C30826">
        <w:rPr>
          <w:lang w:val="en-US" w:eastAsia="en-GB"/>
        </w:rPr>
        <w:t xml:space="preserve"> and legal experts Michele Goodwin, David </w:t>
      </w:r>
      <w:proofErr w:type="spellStart"/>
      <w:r w:rsidRPr="00C30826">
        <w:rPr>
          <w:lang w:val="en-US" w:eastAsia="en-GB"/>
        </w:rPr>
        <w:t>Orentlicher</w:t>
      </w:r>
      <w:proofErr w:type="spellEnd"/>
      <w:r w:rsidRPr="00C30826">
        <w:rPr>
          <w:lang w:val="en-US" w:eastAsia="en-GB"/>
        </w:rPr>
        <w:t xml:space="preserve">, Dorothy Roberts, Kimberly </w:t>
      </w:r>
      <w:proofErr w:type="spellStart"/>
      <w:r w:rsidRPr="00C30826">
        <w:rPr>
          <w:lang w:val="en-US" w:eastAsia="en-GB"/>
        </w:rPr>
        <w:t>Mutcherson</w:t>
      </w:r>
      <w:proofErr w:type="spellEnd"/>
      <w:r w:rsidRPr="00C30826">
        <w:rPr>
          <w:lang w:val="en-US" w:eastAsia="en-GB"/>
        </w:rPr>
        <w:t xml:space="preserve">, </w:t>
      </w:r>
      <w:proofErr w:type="spellStart"/>
      <w:r w:rsidRPr="00C30826">
        <w:rPr>
          <w:lang w:val="en-US" w:eastAsia="en-GB"/>
        </w:rPr>
        <w:t>Khiara</w:t>
      </w:r>
      <w:proofErr w:type="spellEnd"/>
      <w:r w:rsidRPr="00C30826">
        <w:rPr>
          <w:lang w:val="en-US" w:eastAsia="en-GB"/>
        </w:rPr>
        <w:t xml:space="preserve"> Bridges, Song Richardson, Farah Diaz-</w:t>
      </w:r>
      <w:proofErr w:type="spellStart"/>
      <w:r w:rsidRPr="00C30826">
        <w:rPr>
          <w:lang w:val="en-US" w:eastAsia="en-GB"/>
        </w:rPr>
        <w:t>Tello</w:t>
      </w:r>
      <w:proofErr w:type="spellEnd"/>
      <w:r w:rsidRPr="00C30826">
        <w:rPr>
          <w:lang w:val="en-US" w:eastAsia="en-GB"/>
        </w:rPr>
        <w:t xml:space="preserve"> and Cindy </w:t>
      </w:r>
      <w:proofErr w:type="spellStart"/>
      <w:r w:rsidRPr="00C30826">
        <w:rPr>
          <w:lang w:val="en-US" w:eastAsia="en-GB"/>
        </w:rPr>
        <w:t>Soohoo</w:t>
      </w:r>
      <w:proofErr w:type="spellEnd"/>
      <w:r w:rsidRPr="00C30826">
        <w:rPr>
          <w:lang w:val="en-US" w:eastAsia="en-GB"/>
        </w:rPr>
        <w:t>.</w:t>
      </w:r>
    </w:p>
    <w:p w14:paraId="34D8AF3E" w14:textId="77777777" w:rsidR="00070D90" w:rsidRDefault="00070D90">
      <w:pPr>
        <w:rPr>
          <w:rFonts w:asciiTheme="minorHAnsi" w:hAnsiTheme="minorHAnsi"/>
          <w:sz w:val="18"/>
          <w:szCs w:val="24"/>
          <w:lang w:eastAsia="en-GB"/>
        </w:rPr>
      </w:pPr>
      <w:r>
        <w:rPr>
          <w:lang w:eastAsia="en-GB"/>
        </w:rPr>
        <w:br w:type="page"/>
      </w:r>
    </w:p>
    <w:p w14:paraId="77C7B02B" w14:textId="5605F172" w:rsidR="00C30826" w:rsidRPr="00C30826" w:rsidRDefault="00070D90" w:rsidP="00070D90">
      <w:pPr>
        <w:pStyle w:val="RTTitlenumbered"/>
      </w:pPr>
      <w:bookmarkStart w:id="2" w:name="_Toc482741416"/>
      <w:r>
        <w:lastRenderedPageBreak/>
        <w:t xml:space="preserve">pregnancy criminalization </w:t>
      </w:r>
      <w:r w:rsidR="00A2020F">
        <w:t xml:space="preserve">in </w:t>
      </w:r>
      <w:r>
        <w:t>the usa</w:t>
      </w:r>
      <w:bookmarkEnd w:id="2"/>
    </w:p>
    <w:tbl>
      <w:tblPr>
        <w:tblStyle w:val="TableGrid"/>
        <w:tblW w:w="8278" w:type="dxa"/>
        <w:tblBorders>
          <w:top w:val="none" w:sz="0" w:space="0" w:color="auto"/>
          <w:left w:val="single" w:sz="48" w:space="0" w:color="808080" w:themeColor="text2"/>
          <w:bottom w:val="none" w:sz="0" w:space="0" w:color="auto"/>
          <w:right w:val="none" w:sz="0" w:space="0" w:color="auto"/>
          <w:insideH w:val="none" w:sz="0" w:space="0" w:color="auto"/>
          <w:insideV w:val="none" w:sz="0" w:space="0" w:color="auto"/>
        </w:tblBorders>
        <w:tblCellMar>
          <w:top w:w="113" w:type="dxa"/>
          <w:left w:w="227" w:type="dxa"/>
          <w:right w:w="0" w:type="dxa"/>
        </w:tblCellMar>
        <w:tblLook w:val="04A0" w:firstRow="1" w:lastRow="0" w:firstColumn="1" w:lastColumn="0" w:noHBand="0" w:noVBand="1"/>
      </w:tblPr>
      <w:tblGrid>
        <w:gridCol w:w="862"/>
        <w:gridCol w:w="7416"/>
      </w:tblGrid>
      <w:tr w:rsidR="00070D90" w:rsidRPr="00C06C22" w14:paraId="756324B0" w14:textId="77777777" w:rsidTr="008F68FF">
        <w:trPr>
          <w:trHeight w:val="499"/>
        </w:trPr>
        <w:tc>
          <w:tcPr>
            <w:tcW w:w="862" w:type="dxa"/>
          </w:tcPr>
          <w:p w14:paraId="42BE48DF" w14:textId="77777777" w:rsidR="00070D90" w:rsidRPr="00C06C22" w:rsidRDefault="00070D90" w:rsidP="008F68FF">
            <w:r w:rsidRPr="00C06C22">
              <w:rPr>
                <w:noProof/>
                <w:lang w:val="fr-CA" w:eastAsia="zh-CN"/>
              </w:rPr>
              <w:drawing>
                <wp:anchor distT="0" distB="0" distL="114300" distR="114300" simplePos="0" relativeHeight="251666944" behindDoc="1" locked="0" layoutInCell="1" allowOverlap="1" wp14:anchorId="1A1113BC" wp14:editId="1C2EE26C">
                  <wp:simplePos x="0" y="0"/>
                  <wp:positionH relativeFrom="page">
                    <wp:posOffset>75062</wp:posOffset>
                  </wp:positionH>
                  <wp:positionV relativeFrom="page">
                    <wp:posOffset>-142611</wp:posOffset>
                  </wp:positionV>
                  <wp:extent cx="367030" cy="44323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toreplace.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67030" cy="443230"/>
                          </a:xfrm>
                          <a:prstGeom prst="rect">
                            <a:avLst/>
                          </a:prstGeom>
                          <a:extLst>
                            <a:ext uri="{FAA26D3D-D897-4be2-8F04-BA451C77F1D7}">
                              <ma14:placeholderFlag xmlns:arto="http://schemas.microsoft.com/office/word/2006/arto" xmlns:cx="http://schemas.microsoft.com/office/drawing/2014/chartex" xmlns:cx1="http://schemas.microsoft.com/office/drawing/2015/9/8/chartex" xmlns:cx2="http://schemas.microsoft.com/office/drawing/2015/10/21/chartex" xmlns:w16se="http://schemas.microsoft.com/office/word/2015/wordml/symex"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5="http://schemas.microsoft.com/office/word/2012/wordml"/>
                            </a:ext>
                          </a:extLst>
                        </pic:spPr>
                      </pic:pic>
                    </a:graphicData>
                  </a:graphic>
                </wp:anchor>
              </w:drawing>
            </w:r>
          </w:p>
        </w:tc>
        <w:tc>
          <w:tcPr>
            <w:tcW w:w="7416" w:type="dxa"/>
          </w:tcPr>
          <w:p w14:paraId="18FE788B" w14:textId="77777777" w:rsidR="00070D90" w:rsidRPr="00C06C22" w:rsidRDefault="00070D90" w:rsidP="00070D90">
            <w:pPr>
              <w:pStyle w:val="RTSmallheadingCAPS"/>
              <w:rPr>
                <w:lang w:val="en-US"/>
              </w:rPr>
            </w:pPr>
            <w:r>
              <w:rPr>
                <w:lang w:val="en-US"/>
              </w:rPr>
              <w:t>anne</w:t>
            </w:r>
            <w:r w:rsidRPr="00C06C22">
              <w:rPr>
                <w:lang w:val="en-US"/>
              </w:rPr>
              <w:br/>
            </w:r>
          </w:p>
        </w:tc>
      </w:tr>
      <w:tr w:rsidR="00070D90" w:rsidRPr="00C06C22" w14:paraId="08E0E8DE" w14:textId="77777777" w:rsidTr="008F68FF">
        <w:tc>
          <w:tcPr>
            <w:tcW w:w="8278" w:type="dxa"/>
            <w:gridSpan w:val="2"/>
          </w:tcPr>
          <w:p w14:paraId="77837CFA" w14:textId="6E0933E6" w:rsidR="00070D90" w:rsidRPr="00070D90" w:rsidRDefault="00070D90" w:rsidP="00070D90">
            <w:pPr>
              <w:suppressAutoHyphens/>
              <w:spacing w:before="100" w:after="140" w:line="240" w:lineRule="exact"/>
              <w:rPr>
                <w:rFonts w:ascii="Amnesty Trade Gothic Cn" w:hAnsi="Amnesty Trade Gothic Cn"/>
                <w:b/>
                <w:sz w:val="20"/>
                <w:lang w:val="en-GB"/>
              </w:rPr>
            </w:pPr>
            <w:r w:rsidRPr="00070D90">
              <w:rPr>
                <w:rFonts w:ascii="Amnesty Trade Gothic Cn" w:hAnsi="Amnesty Trade Gothic Cn"/>
                <w:b/>
                <w:sz w:val="20"/>
                <w:lang w:val="en-GB"/>
              </w:rPr>
              <w:t>Anne</w:t>
            </w:r>
            <w:r>
              <w:rPr>
                <w:rFonts w:ascii="Amnesty Trade Gothic Cn" w:hAnsi="Amnesty Trade Gothic Cn"/>
                <w:b/>
                <w:sz w:val="20"/>
                <w:lang w:val="en-GB"/>
              </w:rPr>
              <w:t>,</w:t>
            </w:r>
            <w:r w:rsidRPr="00070D90">
              <w:rPr>
                <w:rFonts w:ascii="Amnesty Trade Gothic Cn" w:hAnsi="Amnesty Trade Gothic Cn"/>
                <w:b/>
                <w:sz w:val="20"/>
                <w:lang w:val="en-GB"/>
              </w:rPr>
              <w:t xml:space="preserve"> a 36 year-old woman from northern Alabama, was arrested for drug possession and paraphernalia</w:t>
            </w:r>
            <w:r w:rsidR="00453632">
              <w:rPr>
                <w:rFonts w:ascii="Amnesty Trade Gothic Cn" w:hAnsi="Amnesty Trade Gothic Cn"/>
                <w:b/>
                <w:sz w:val="20"/>
                <w:lang w:val="en-GB"/>
              </w:rPr>
              <w:t xml:space="preserve"> in 2015</w:t>
            </w:r>
            <w:r w:rsidRPr="00070D90">
              <w:rPr>
                <w:rFonts w:ascii="Amnesty Trade Gothic Cn" w:hAnsi="Amnesty Trade Gothic Cn"/>
                <w:b/>
                <w:sz w:val="20"/>
                <w:lang w:val="en-GB"/>
              </w:rPr>
              <w:t>.  At the time</w:t>
            </w:r>
            <w:r w:rsidR="00C44DAC">
              <w:rPr>
                <w:rFonts w:ascii="Amnesty Trade Gothic Cn" w:hAnsi="Amnesty Trade Gothic Cn"/>
                <w:b/>
                <w:sz w:val="20"/>
                <w:lang w:val="en-GB"/>
              </w:rPr>
              <w:t>,</w:t>
            </w:r>
            <w:r w:rsidRPr="00070D90">
              <w:rPr>
                <w:rFonts w:ascii="Amnesty Trade Gothic Cn" w:hAnsi="Amnesty Trade Gothic Cn"/>
                <w:b/>
                <w:sz w:val="20"/>
                <w:lang w:val="en-GB"/>
              </w:rPr>
              <w:t xml:space="preserve"> she was homeless</w:t>
            </w:r>
            <w:r w:rsidR="00C44DAC">
              <w:rPr>
                <w:rFonts w:ascii="Amnesty Trade Gothic Cn" w:hAnsi="Amnesty Trade Gothic Cn"/>
                <w:b/>
                <w:sz w:val="20"/>
                <w:lang w:val="en-GB"/>
              </w:rPr>
              <w:t xml:space="preserve"> and used </w:t>
            </w:r>
            <w:r w:rsidRPr="00070D90">
              <w:rPr>
                <w:rFonts w:ascii="Amnesty Trade Gothic Cn" w:hAnsi="Amnesty Trade Gothic Cn"/>
                <w:b/>
                <w:sz w:val="20"/>
                <w:lang w:val="en-GB"/>
              </w:rPr>
              <w:t xml:space="preserve">methamphetamine. Anne </w:t>
            </w:r>
            <w:r w:rsidR="00A405E7">
              <w:rPr>
                <w:rFonts w:ascii="Amnesty Trade Gothic Cn" w:hAnsi="Amnesty Trade Gothic Cn"/>
                <w:b/>
                <w:sz w:val="20"/>
                <w:lang w:val="en-GB"/>
              </w:rPr>
              <w:t xml:space="preserve">had known </w:t>
            </w:r>
            <w:r w:rsidRPr="00070D90">
              <w:rPr>
                <w:rFonts w:ascii="Amnesty Trade Gothic Cn" w:hAnsi="Amnesty Trade Gothic Cn"/>
                <w:b/>
                <w:sz w:val="20"/>
                <w:lang w:val="en-GB"/>
              </w:rPr>
              <w:t>she was pregnant but was not planning to continue the pregnancy</w:t>
            </w:r>
            <w:r w:rsidR="00A405E7">
              <w:rPr>
                <w:rFonts w:ascii="Amnesty Trade Gothic Cn" w:hAnsi="Amnesty Trade Gothic Cn"/>
                <w:b/>
                <w:sz w:val="20"/>
                <w:lang w:val="en-GB"/>
              </w:rPr>
              <w:t xml:space="preserve"> which </w:t>
            </w:r>
            <w:r w:rsidRPr="00070D90">
              <w:rPr>
                <w:rFonts w:ascii="Amnesty Trade Gothic Cn" w:hAnsi="Amnesty Trade Gothic Cn"/>
                <w:b/>
                <w:sz w:val="20"/>
                <w:lang w:val="en-GB"/>
              </w:rPr>
              <w:t>resulted from sexual assault. Anne’s relationship with her husband was not stable and he was also struggling with drug dependence.</w:t>
            </w:r>
            <w:r w:rsidRPr="00070D90">
              <w:rPr>
                <w:rFonts w:ascii="Amnesty Trade Gothic Cn" w:hAnsi="Amnesty Trade Gothic Cn"/>
                <w:b/>
                <w:sz w:val="20"/>
                <w:vertAlign w:val="superscript"/>
                <w:lang w:val="en-GB"/>
              </w:rPr>
              <w:footnoteReference w:id="5"/>
            </w:r>
          </w:p>
          <w:p w14:paraId="0A5E8B91" w14:textId="6F41ED0D" w:rsidR="00070D90" w:rsidRPr="00070D90" w:rsidRDefault="00A405E7" w:rsidP="00070D90">
            <w:pPr>
              <w:suppressAutoHyphens/>
              <w:spacing w:before="100" w:after="140" w:line="240" w:lineRule="exact"/>
              <w:rPr>
                <w:rFonts w:ascii="Amnesty Trade Gothic Cn" w:hAnsi="Amnesty Trade Gothic Cn"/>
                <w:b/>
                <w:sz w:val="20"/>
                <w:lang w:val="en-GB"/>
              </w:rPr>
            </w:pPr>
            <w:r>
              <w:rPr>
                <w:rFonts w:ascii="Amnesty Trade Gothic Cn" w:hAnsi="Amnesty Trade Gothic Cn"/>
                <w:b/>
                <w:sz w:val="20"/>
                <w:lang w:val="en-GB"/>
              </w:rPr>
              <w:t xml:space="preserve">Shortly before </w:t>
            </w:r>
            <w:r w:rsidR="00070D90" w:rsidRPr="00070D90">
              <w:rPr>
                <w:rFonts w:ascii="Amnesty Trade Gothic Cn" w:hAnsi="Amnesty Trade Gothic Cn"/>
                <w:b/>
                <w:sz w:val="20"/>
                <w:lang w:val="en-GB"/>
              </w:rPr>
              <w:t xml:space="preserve">her arrest, she </w:t>
            </w:r>
            <w:r>
              <w:rPr>
                <w:rFonts w:ascii="Amnesty Trade Gothic Cn" w:hAnsi="Amnesty Trade Gothic Cn"/>
                <w:b/>
                <w:sz w:val="20"/>
                <w:lang w:val="en-GB"/>
              </w:rPr>
              <w:t xml:space="preserve">had an argument </w:t>
            </w:r>
            <w:r w:rsidR="00070D90" w:rsidRPr="00070D90">
              <w:rPr>
                <w:rFonts w:ascii="Amnesty Trade Gothic Cn" w:hAnsi="Amnesty Trade Gothic Cn"/>
                <w:b/>
                <w:sz w:val="20"/>
                <w:lang w:val="en-GB"/>
              </w:rPr>
              <w:t xml:space="preserve">with someone </w:t>
            </w:r>
            <w:r>
              <w:rPr>
                <w:rFonts w:ascii="Amnesty Trade Gothic Cn" w:hAnsi="Amnesty Trade Gothic Cn"/>
                <w:b/>
                <w:sz w:val="20"/>
                <w:lang w:val="en-GB"/>
              </w:rPr>
              <w:t xml:space="preserve">over </w:t>
            </w:r>
            <w:r w:rsidR="00070D90" w:rsidRPr="00070D90">
              <w:rPr>
                <w:rFonts w:ascii="Amnesty Trade Gothic Cn" w:hAnsi="Amnesty Trade Gothic Cn"/>
                <w:b/>
                <w:sz w:val="20"/>
                <w:lang w:val="en-GB"/>
              </w:rPr>
              <w:t xml:space="preserve">money for </w:t>
            </w:r>
            <w:r w:rsidR="00C44DAC">
              <w:rPr>
                <w:rFonts w:ascii="Amnesty Trade Gothic Cn" w:hAnsi="Amnesty Trade Gothic Cn"/>
                <w:b/>
                <w:sz w:val="20"/>
                <w:lang w:val="en-GB"/>
              </w:rPr>
              <w:t>the</w:t>
            </w:r>
            <w:r w:rsidR="00070D90" w:rsidRPr="00070D90">
              <w:rPr>
                <w:rFonts w:ascii="Amnesty Trade Gothic Cn" w:hAnsi="Amnesty Trade Gothic Cn"/>
                <w:b/>
                <w:sz w:val="20"/>
                <w:lang w:val="en-GB"/>
              </w:rPr>
              <w:t xml:space="preserve"> abortion. “Someone saw the argument and took it for domestic violence and called the police. The police saw track marks, asked if they could search my purse. I said no, but they searched anyway. They found drugs and paraphernalia.”</w:t>
            </w:r>
            <w:r w:rsidR="00070D90" w:rsidRPr="00070D90">
              <w:rPr>
                <w:rFonts w:ascii="Amnesty Trade Gothic Cn" w:hAnsi="Amnesty Trade Gothic Cn"/>
                <w:b/>
                <w:sz w:val="20"/>
                <w:vertAlign w:val="superscript"/>
                <w:lang w:val="en-GB"/>
              </w:rPr>
              <w:footnoteReference w:id="6"/>
            </w:r>
          </w:p>
          <w:p w14:paraId="681D002E" w14:textId="470AA619" w:rsidR="00070D90" w:rsidRPr="00070D90" w:rsidRDefault="00070D90" w:rsidP="00070D90">
            <w:pPr>
              <w:suppressAutoHyphens/>
              <w:spacing w:before="100" w:after="140" w:line="240" w:lineRule="exact"/>
              <w:rPr>
                <w:rFonts w:ascii="Amnesty Trade Gothic Cn" w:hAnsi="Amnesty Trade Gothic Cn"/>
                <w:b/>
                <w:sz w:val="20"/>
                <w:lang w:val="en-GB"/>
              </w:rPr>
            </w:pPr>
            <w:r w:rsidRPr="00070D90">
              <w:rPr>
                <w:rFonts w:ascii="Amnesty Trade Gothic Cn" w:hAnsi="Amnesty Trade Gothic Cn"/>
                <w:b/>
                <w:sz w:val="20"/>
                <w:lang w:val="en-GB"/>
              </w:rPr>
              <w:t xml:space="preserve">Anne was taken to jail and tested for drugs </w:t>
            </w:r>
            <w:r w:rsidR="00C44DAC">
              <w:rPr>
                <w:rFonts w:ascii="Amnesty Trade Gothic Cn" w:hAnsi="Amnesty Trade Gothic Cn"/>
                <w:b/>
                <w:sz w:val="20"/>
                <w:lang w:val="en-GB"/>
              </w:rPr>
              <w:t>two</w:t>
            </w:r>
            <w:r w:rsidRPr="00070D90">
              <w:rPr>
                <w:rFonts w:ascii="Amnesty Trade Gothic Cn" w:hAnsi="Amnesty Trade Gothic Cn"/>
                <w:b/>
                <w:sz w:val="20"/>
                <w:lang w:val="en-GB"/>
              </w:rPr>
              <w:t xml:space="preserve"> days later. “They called me out of my cell and told me they were going to drug test. They charged me with </w:t>
            </w:r>
            <w:r w:rsidR="00D62992">
              <w:rPr>
                <w:rFonts w:ascii="Amnesty Trade Gothic Cn" w:hAnsi="Amnesty Trade Gothic Cn"/>
                <w:b/>
                <w:sz w:val="20"/>
                <w:lang w:val="en-GB"/>
              </w:rPr>
              <w:t>‘</w:t>
            </w:r>
            <w:r w:rsidRPr="00070D90">
              <w:rPr>
                <w:rFonts w:ascii="Amnesty Trade Gothic Cn" w:hAnsi="Amnesty Trade Gothic Cn"/>
                <w:b/>
                <w:sz w:val="20"/>
                <w:lang w:val="en-GB"/>
              </w:rPr>
              <w:t>chemical endangerment</w:t>
            </w:r>
            <w:r w:rsidR="00D62992">
              <w:rPr>
                <w:rFonts w:ascii="Amnesty Trade Gothic Cn" w:hAnsi="Amnesty Trade Gothic Cn"/>
                <w:b/>
                <w:sz w:val="20"/>
                <w:lang w:val="en-GB"/>
              </w:rPr>
              <w:t>’</w:t>
            </w:r>
            <w:r w:rsidRPr="00070D90">
              <w:rPr>
                <w:rFonts w:ascii="Amnesty Trade Gothic Cn" w:hAnsi="Amnesty Trade Gothic Cn"/>
                <w:b/>
                <w:sz w:val="20"/>
                <w:lang w:val="en-GB"/>
              </w:rPr>
              <w:t xml:space="preserve"> even before they’d done the drug screen. The investigator came and charged me.”</w:t>
            </w:r>
            <w:r w:rsidRPr="00070D90">
              <w:rPr>
                <w:rFonts w:ascii="Amnesty Trade Gothic Cn" w:hAnsi="Amnesty Trade Gothic Cn"/>
                <w:b/>
                <w:sz w:val="20"/>
                <w:vertAlign w:val="superscript"/>
                <w:lang w:val="en-GB"/>
              </w:rPr>
              <w:footnoteReference w:id="7"/>
            </w:r>
          </w:p>
          <w:p w14:paraId="3B9CE1FE" w14:textId="635DC8F0" w:rsidR="00070D90" w:rsidRPr="00070D90" w:rsidRDefault="00070D90" w:rsidP="00070D90">
            <w:pPr>
              <w:suppressAutoHyphens/>
              <w:spacing w:before="100" w:after="140" w:line="240" w:lineRule="exact"/>
              <w:rPr>
                <w:rFonts w:ascii="Amnesty Trade Gothic Cn" w:hAnsi="Amnesty Trade Gothic Cn"/>
                <w:b/>
                <w:sz w:val="20"/>
                <w:lang w:val="en-GB"/>
              </w:rPr>
            </w:pPr>
            <w:r w:rsidRPr="00070D90">
              <w:rPr>
                <w:rFonts w:ascii="Amnesty Trade Gothic Cn" w:hAnsi="Amnesty Trade Gothic Cn"/>
                <w:b/>
                <w:sz w:val="20"/>
                <w:lang w:val="en-GB"/>
              </w:rPr>
              <w:t xml:space="preserve">“They publicized it everywhere. Fox 6 News, the newspaper, blogs, on Facebook. The District Attorney and Sheriff have a Facebook page dedicated to mug shots. They post the pictures of everyone arrested for </w:t>
            </w:r>
            <w:r w:rsidR="00D62992">
              <w:rPr>
                <w:rFonts w:ascii="Amnesty Trade Gothic Cn" w:hAnsi="Amnesty Trade Gothic Cn"/>
                <w:b/>
                <w:sz w:val="20"/>
                <w:lang w:val="en-GB"/>
              </w:rPr>
              <w:t>‘</w:t>
            </w:r>
            <w:r w:rsidRPr="00070D90">
              <w:rPr>
                <w:rFonts w:ascii="Amnesty Trade Gothic Cn" w:hAnsi="Amnesty Trade Gothic Cn"/>
                <w:b/>
                <w:sz w:val="20"/>
                <w:lang w:val="en-GB"/>
              </w:rPr>
              <w:t>chemical endangerment</w:t>
            </w:r>
            <w:r w:rsidR="00D62992">
              <w:rPr>
                <w:rFonts w:ascii="Amnesty Trade Gothic Cn" w:hAnsi="Amnesty Trade Gothic Cn"/>
                <w:b/>
                <w:sz w:val="20"/>
                <w:lang w:val="en-GB"/>
              </w:rPr>
              <w:t>’</w:t>
            </w:r>
            <w:r w:rsidRPr="00070D90">
              <w:rPr>
                <w:rFonts w:ascii="Amnesty Trade Gothic Cn" w:hAnsi="Amnesty Trade Gothic Cn"/>
                <w:b/>
                <w:sz w:val="20"/>
                <w:lang w:val="en-GB"/>
              </w:rPr>
              <w:t>. The picture on the news was awful. Later, when I got to treatment one of the staff members told me they had seen me on the news. It made me feel shameful and embarrassed, and a little angry.”</w:t>
            </w:r>
            <w:r w:rsidRPr="00070D90">
              <w:rPr>
                <w:rFonts w:ascii="Amnesty Trade Gothic Cn" w:hAnsi="Amnesty Trade Gothic Cn"/>
                <w:b/>
                <w:sz w:val="20"/>
                <w:vertAlign w:val="superscript"/>
                <w:lang w:val="en-GB"/>
              </w:rPr>
              <w:footnoteReference w:id="8"/>
            </w:r>
          </w:p>
          <w:p w14:paraId="0C969BBA" w14:textId="77777777" w:rsidR="00070D90" w:rsidRPr="00C06C22" w:rsidRDefault="00070D90" w:rsidP="008F68FF">
            <w:pPr>
              <w:pStyle w:val="RTBodyText"/>
              <w:rPr>
                <w:lang w:val="en-US"/>
              </w:rPr>
            </w:pPr>
          </w:p>
        </w:tc>
      </w:tr>
    </w:tbl>
    <w:p w14:paraId="37524C43" w14:textId="77777777" w:rsidR="00C30826" w:rsidRPr="00C30826" w:rsidRDefault="00C30826" w:rsidP="00C30826">
      <w:pPr>
        <w:pStyle w:val="RTBodyText"/>
        <w:rPr>
          <w:lang w:val="en-US" w:eastAsia="en-GB"/>
        </w:rPr>
      </w:pPr>
    </w:p>
    <w:p w14:paraId="6B448858" w14:textId="77777777" w:rsidR="00C30826" w:rsidRPr="00C30826" w:rsidRDefault="00C30826" w:rsidP="00C30826">
      <w:pPr>
        <w:pStyle w:val="RTBodyText"/>
        <w:rPr>
          <w:lang w:val="en-US" w:eastAsia="en-GB"/>
        </w:rPr>
      </w:pPr>
    </w:p>
    <w:p w14:paraId="3F2F8849" w14:textId="77777777" w:rsidR="00C06C22" w:rsidRPr="00C06C22" w:rsidRDefault="00C06C22" w:rsidP="003E4A5D">
      <w:pPr>
        <w:pStyle w:val="RTBodyText"/>
        <w:rPr>
          <w:lang w:val="en-US" w:eastAsia="en-GB"/>
        </w:rPr>
      </w:pPr>
    </w:p>
    <w:p w14:paraId="1D8C3D27" w14:textId="77777777" w:rsidR="00070D90" w:rsidRPr="00070D90" w:rsidRDefault="00C32F7C" w:rsidP="00070D90">
      <w:pPr>
        <w:pStyle w:val="RTNumberedHeading"/>
      </w:pPr>
      <w:bookmarkStart w:id="3" w:name="_Toc482741417"/>
      <w:r>
        <w:lastRenderedPageBreak/>
        <w:t>a</w:t>
      </w:r>
      <w:r w:rsidR="00070D90" w:rsidRPr="00070D90">
        <w:t xml:space="preserve"> PATCHWO</w:t>
      </w:r>
      <w:r>
        <w:t>RK OF</w:t>
      </w:r>
      <w:r w:rsidR="00070D90" w:rsidRPr="00070D90">
        <w:t xml:space="preserve"> LAWS</w:t>
      </w:r>
      <w:bookmarkEnd w:id="3"/>
      <w:r w:rsidR="00070D90" w:rsidRPr="00070D90">
        <w:t xml:space="preserve"> </w:t>
      </w:r>
    </w:p>
    <w:p w14:paraId="2812B279" w14:textId="77777777" w:rsidR="00070D90" w:rsidRPr="00070D90" w:rsidRDefault="00070D90" w:rsidP="00070D90">
      <w:pPr>
        <w:pStyle w:val="RTBodyText"/>
        <w:rPr>
          <w:lang w:val="en-US" w:eastAsia="en-GB"/>
        </w:rPr>
      </w:pPr>
    </w:p>
    <w:p w14:paraId="7055935C" w14:textId="5C0F168C" w:rsidR="00370D45" w:rsidRPr="00370D45" w:rsidRDefault="00370D45" w:rsidP="00370D45">
      <w:pPr>
        <w:pStyle w:val="RTBodyText"/>
        <w:rPr>
          <w:lang w:eastAsia="en-GB"/>
        </w:rPr>
      </w:pPr>
      <w:r w:rsidRPr="00370D45">
        <w:rPr>
          <w:lang w:eastAsia="en-GB"/>
        </w:rPr>
        <w:t>The circumstances that result in criminalization of pregnant women defy simple categorization.</w:t>
      </w:r>
      <w:r w:rsidRPr="00370D45">
        <w:rPr>
          <w:vertAlign w:val="superscript"/>
          <w:lang w:eastAsia="en-GB"/>
        </w:rPr>
        <w:footnoteReference w:id="9"/>
      </w:r>
      <w:r w:rsidRPr="00370D45">
        <w:rPr>
          <w:lang w:eastAsia="en-GB"/>
        </w:rPr>
        <w:t xml:space="preserve"> A range of criminal laws, judicial rulings, and legislation addressing child abuse and neglect can be used to criminalize pregnant women. These measures include criminal laws that directly criminalize or otherwise punish certain conduct as well as civil laws that result in sanctions such as removing a child from her mother’s custody.  </w:t>
      </w:r>
    </w:p>
    <w:p w14:paraId="1E033499" w14:textId="5333555A" w:rsidR="00070D90" w:rsidRPr="00070D90" w:rsidRDefault="00070D90" w:rsidP="00070D90">
      <w:pPr>
        <w:pStyle w:val="RTBodyText"/>
        <w:rPr>
          <w:lang w:val="en-US" w:eastAsia="en-GB"/>
        </w:rPr>
      </w:pPr>
      <w:r w:rsidRPr="00070D90">
        <w:rPr>
          <w:lang w:val="en-US" w:eastAsia="en-GB"/>
        </w:rPr>
        <w:t>Pregnant women are often unaware of the type of actions during pregnancy that may lead to state sanction</w:t>
      </w:r>
      <w:r w:rsidR="00C44DAC">
        <w:rPr>
          <w:lang w:val="en-US" w:eastAsia="en-GB"/>
        </w:rPr>
        <w:t xml:space="preserve">, </w:t>
      </w:r>
      <w:r w:rsidRPr="00070D90">
        <w:rPr>
          <w:lang w:val="en-US" w:eastAsia="en-GB"/>
        </w:rPr>
        <w:t xml:space="preserve">monitoring and punishment in matters relating to pregnancy. There is also often a lack of agreement and understanding what criminal laws sanction and how they should be interpreted and applied by law enforcement, healthcare providers and social workers. Prosecutors have great discretion, thus the enforcement of criminal laws can be uneven across jurisdictions and reflect startling patterns of inequality and discrimination. </w:t>
      </w:r>
      <w:r w:rsidR="00377889">
        <w:rPr>
          <w:lang w:val="en-US" w:eastAsia="en-GB"/>
        </w:rPr>
        <w:t>A</w:t>
      </w:r>
      <w:r w:rsidRPr="00070D90">
        <w:rPr>
          <w:lang w:val="en-US" w:eastAsia="en-GB"/>
        </w:rPr>
        <w:t xml:space="preserve"> </w:t>
      </w:r>
      <w:r w:rsidR="00377889">
        <w:rPr>
          <w:lang w:val="en-US" w:eastAsia="en-GB"/>
        </w:rPr>
        <w:t xml:space="preserve">drug dependency </w:t>
      </w:r>
      <w:r w:rsidRPr="00070D90">
        <w:rPr>
          <w:lang w:val="en-US" w:eastAsia="en-GB"/>
        </w:rPr>
        <w:t>treatment provider in Tennessee told Amnesty International:</w:t>
      </w:r>
    </w:p>
    <w:p w14:paraId="7C0594F0" w14:textId="77777777" w:rsidR="00070D90" w:rsidRPr="00070D90" w:rsidRDefault="00070D90" w:rsidP="00070D90">
      <w:pPr>
        <w:pStyle w:val="RTQuoteText"/>
        <w:rPr>
          <w:lang w:eastAsia="en-GB"/>
        </w:rPr>
      </w:pPr>
      <w:r w:rsidRPr="00070D90">
        <w:rPr>
          <w:lang w:eastAsia="en-GB"/>
        </w:rPr>
        <w:t xml:space="preserve">“There’s nothing formulaic about how the law is used. We don’t know. It depends what county they come from. We’re not sure what the state will do.” </w:t>
      </w:r>
    </w:p>
    <w:p w14:paraId="7D2FC6B3" w14:textId="735E34FC" w:rsidR="00C06C22" w:rsidRDefault="00070D90" w:rsidP="00070D90">
      <w:pPr>
        <w:pStyle w:val="RTSourceText"/>
        <w:rPr>
          <w:lang w:eastAsia="en-GB"/>
        </w:rPr>
      </w:pPr>
      <w:r w:rsidRPr="00070D90">
        <w:rPr>
          <w:lang w:eastAsia="en-GB"/>
        </w:rPr>
        <w:t>Evan Sexton, Clinical Director, Renaissance Recovery Group</w:t>
      </w:r>
      <w:r w:rsidR="00E7633A">
        <w:rPr>
          <w:lang w:eastAsia="en-GB"/>
        </w:rPr>
        <w:t>, Knoxville, TN</w:t>
      </w:r>
    </w:p>
    <w:p w14:paraId="2CE6C9A0" w14:textId="77777777" w:rsidR="00FA7541" w:rsidRDefault="00FA7541" w:rsidP="00070D90">
      <w:pPr>
        <w:pStyle w:val="RTSourceText"/>
        <w:rPr>
          <w:lang w:eastAsia="en-GB"/>
        </w:rPr>
      </w:pPr>
    </w:p>
    <w:tbl>
      <w:tblPr>
        <w:tblStyle w:val="RTTintedPullout"/>
        <w:tblW w:w="8278" w:type="dxa"/>
        <w:tblLook w:val="04A0" w:firstRow="1" w:lastRow="0" w:firstColumn="1" w:lastColumn="0" w:noHBand="0" w:noVBand="1"/>
      </w:tblPr>
      <w:tblGrid>
        <w:gridCol w:w="8278"/>
      </w:tblGrid>
      <w:tr w:rsidR="00FA7541" w:rsidRPr="00C06C22" w14:paraId="42D51187" w14:textId="77777777" w:rsidTr="008C1499">
        <w:trPr>
          <w:trHeight w:val="1912"/>
        </w:trPr>
        <w:tc>
          <w:tcPr>
            <w:tcW w:w="8278" w:type="dxa"/>
          </w:tcPr>
          <w:p w14:paraId="57BBD658" w14:textId="556A9DF6" w:rsidR="008A155C" w:rsidRDefault="008A155C" w:rsidP="00A2020F">
            <w:pPr>
              <w:pStyle w:val="RTSmallheadingCAPS"/>
            </w:pPr>
            <w:r>
              <w:t>pregnancy criminalization across the usa</w:t>
            </w:r>
          </w:p>
          <w:p w14:paraId="57015665" w14:textId="77777777" w:rsidR="00FA7541" w:rsidRPr="00681F10" w:rsidRDefault="00FA7541" w:rsidP="00A2020F">
            <w:pPr>
              <w:pStyle w:val="RTBulletText"/>
            </w:pPr>
            <w:r w:rsidRPr="00681F10">
              <w:t>45 states have documented cases in which pregnancy was a necessary factor leading to attempted and actual deprivations of liberty</w:t>
            </w:r>
          </w:p>
          <w:p w14:paraId="695C4984" w14:textId="77777777" w:rsidR="00FA7541" w:rsidRPr="00681F10" w:rsidRDefault="00FA7541" w:rsidP="00A2020F">
            <w:pPr>
              <w:pStyle w:val="RTBulletText"/>
            </w:pPr>
            <w:r w:rsidRPr="00681F10">
              <w:t>38 states have “</w:t>
            </w:r>
            <w:proofErr w:type="spellStart"/>
            <w:r w:rsidRPr="00681F10">
              <w:t>fetal</w:t>
            </w:r>
            <w:proofErr w:type="spellEnd"/>
            <w:r w:rsidRPr="00681F10">
              <w:t xml:space="preserve"> assault” laws which consider </w:t>
            </w:r>
            <w:proofErr w:type="spellStart"/>
            <w:r w:rsidRPr="00681F10">
              <w:t>fetuses</w:t>
            </w:r>
            <w:proofErr w:type="spellEnd"/>
            <w:r w:rsidRPr="00681F10">
              <w:t xml:space="preserve"> potential victims of crimes</w:t>
            </w:r>
          </w:p>
          <w:p w14:paraId="147D2B37" w14:textId="77777777" w:rsidR="00FA7541" w:rsidRPr="00681F10" w:rsidRDefault="00FA7541" w:rsidP="00A2020F">
            <w:pPr>
              <w:pStyle w:val="RTBulletText"/>
            </w:pPr>
            <w:r w:rsidRPr="00681F10">
              <w:t xml:space="preserve">18 states consider substance use during pregnancy to be child abuse </w:t>
            </w:r>
          </w:p>
          <w:p w14:paraId="20EFA3CA" w14:textId="79A0364D" w:rsidR="00FA7541" w:rsidRPr="00681F10" w:rsidRDefault="00FA7541" w:rsidP="00A2020F">
            <w:pPr>
              <w:pStyle w:val="RTBulletText"/>
            </w:pPr>
            <w:r w:rsidRPr="00681F10">
              <w:t>4 states consider drug use during pregnancy to be grounds for civil commitment or involuntary detention in a treatment facility</w:t>
            </w:r>
          </w:p>
          <w:p w14:paraId="246B48D0" w14:textId="45029D60" w:rsidR="00FA7541" w:rsidRPr="00C06C22" w:rsidRDefault="00FA7541" w:rsidP="00A2020F">
            <w:pPr>
              <w:pStyle w:val="RTBulletText"/>
            </w:pPr>
            <w:r w:rsidRPr="00681F10">
              <w:t xml:space="preserve">From 2014-2016, 1 state (Tennessee) specifically allowed assault charges to be filed against a woman for any unlawful act with respect to her own embryo or </w:t>
            </w:r>
            <w:proofErr w:type="spellStart"/>
            <w:r w:rsidRPr="00681F10">
              <w:t>fetus</w:t>
            </w:r>
            <w:proofErr w:type="spellEnd"/>
          </w:p>
        </w:tc>
      </w:tr>
    </w:tbl>
    <w:p w14:paraId="030E4A34" w14:textId="77777777" w:rsidR="00FA7541" w:rsidRDefault="00FA7541" w:rsidP="00FA7541">
      <w:pPr>
        <w:pStyle w:val="RTBodyText"/>
        <w:rPr>
          <w:lang w:eastAsia="en-GB"/>
        </w:rPr>
      </w:pPr>
    </w:p>
    <w:p w14:paraId="56415E6B" w14:textId="4F8F932D" w:rsidR="003F077F" w:rsidRPr="003F077F" w:rsidRDefault="008C1499" w:rsidP="003F077F">
      <w:pPr>
        <w:pStyle w:val="RTBodyText"/>
        <w:rPr>
          <w:lang w:eastAsia="en-GB"/>
        </w:rPr>
      </w:pPr>
      <w:r>
        <w:rPr>
          <w:lang w:eastAsia="en-GB"/>
        </w:rPr>
        <w:t>While p</w:t>
      </w:r>
      <w:r w:rsidR="003F077F" w:rsidRPr="003F077F">
        <w:rPr>
          <w:lang w:eastAsia="en-GB"/>
        </w:rPr>
        <w:t xml:space="preserve">regnancy criminalization laws do not appear to be </w:t>
      </w:r>
      <w:r>
        <w:rPr>
          <w:lang w:eastAsia="en-GB"/>
        </w:rPr>
        <w:t xml:space="preserve">directly </w:t>
      </w:r>
      <w:r w:rsidR="003F077F" w:rsidRPr="003F077F">
        <w:rPr>
          <w:lang w:eastAsia="en-GB"/>
        </w:rPr>
        <w:t>related to abortion</w:t>
      </w:r>
      <w:r>
        <w:rPr>
          <w:lang w:eastAsia="en-GB"/>
        </w:rPr>
        <w:t>,</w:t>
      </w:r>
      <w:r w:rsidR="003F077F" w:rsidRPr="003F077F">
        <w:rPr>
          <w:lang w:eastAsia="en-GB"/>
        </w:rPr>
        <w:t xml:space="preserve"> they are closely linked to legislative</w:t>
      </w:r>
      <w:r>
        <w:rPr>
          <w:lang w:eastAsia="en-GB"/>
        </w:rPr>
        <w:t xml:space="preserve"> </w:t>
      </w:r>
      <w:r w:rsidR="003F077F" w:rsidRPr="003F077F">
        <w:rPr>
          <w:lang w:eastAsia="en-GB"/>
        </w:rPr>
        <w:t xml:space="preserve">and judicial attempts to treat </w:t>
      </w:r>
      <w:proofErr w:type="spellStart"/>
      <w:r w:rsidR="003F077F" w:rsidRPr="003F077F">
        <w:rPr>
          <w:lang w:eastAsia="en-GB"/>
        </w:rPr>
        <w:t>fetuses</w:t>
      </w:r>
      <w:proofErr w:type="spellEnd"/>
      <w:r w:rsidR="003F077F" w:rsidRPr="003F077F">
        <w:rPr>
          <w:lang w:eastAsia="en-GB"/>
        </w:rPr>
        <w:t xml:space="preserve"> as legally separate persons. The criminalization of pregnant women results from the passage and, at times, overreaching interpretation of a range of laws. These can include laws whose stated rationale is to protect pregnant women from violence, and even laws against “the introduction of a controlled substance into the body of another person.”</w:t>
      </w:r>
      <w:r w:rsidR="003F077F" w:rsidRPr="003F077F">
        <w:rPr>
          <w:vertAlign w:val="superscript"/>
          <w:lang w:eastAsia="en-GB"/>
        </w:rPr>
        <w:footnoteReference w:id="10"/>
      </w:r>
      <w:r w:rsidR="003F077F" w:rsidRPr="003F077F">
        <w:rPr>
          <w:lang w:eastAsia="en-GB"/>
        </w:rPr>
        <w:t xml:space="preserve"> What unites these laws is that they have been used to criminalize women for their actions in relation to their own pregnancies.</w:t>
      </w:r>
    </w:p>
    <w:p w14:paraId="24D00B30" w14:textId="0933532E" w:rsidR="003F077F" w:rsidRPr="003F077F" w:rsidRDefault="003F077F" w:rsidP="003F077F">
      <w:pPr>
        <w:pStyle w:val="RTBodyText"/>
        <w:rPr>
          <w:lang w:eastAsia="en-GB"/>
        </w:rPr>
      </w:pPr>
      <w:r w:rsidRPr="003F077F">
        <w:rPr>
          <w:lang w:eastAsia="en-GB"/>
        </w:rPr>
        <w:t xml:space="preserve">In recent years, state laws have become more explicit, and the number of prosecutions has increased. For example, the National Advocates for Pregnant Women (NAPW) documented 413 arrests, detentions or forced medical interventions (such as </w:t>
      </w:r>
      <w:r w:rsidR="007C22CD" w:rsidRPr="003F077F">
        <w:rPr>
          <w:lang w:eastAsia="en-GB"/>
        </w:rPr>
        <w:t>caesarean</w:t>
      </w:r>
      <w:r w:rsidRPr="003F077F">
        <w:rPr>
          <w:lang w:eastAsia="en-GB"/>
        </w:rPr>
        <w:t xml:space="preserve"> surgery) between 1973 and 2005.</w:t>
      </w:r>
      <w:r w:rsidRPr="003F077F">
        <w:rPr>
          <w:vertAlign w:val="superscript"/>
          <w:lang w:eastAsia="en-GB"/>
        </w:rPr>
        <w:footnoteReference w:id="11"/>
      </w:r>
      <w:r w:rsidRPr="003F077F">
        <w:rPr>
          <w:lang w:eastAsia="en-GB"/>
        </w:rPr>
        <w:t xml:space="preserve"> Since 2006, investigative journalists identified 479 arrests in Alabama alone</w:t>
      </w:r>
      <w:r w:rsidR="008C1499">
        <w:rPr>
          <w:lang w:eastAsia="en-GB"/>
        </w:rPr>
        <w:t>.</w:t>
      </w:r>
      <w:r w:rsidRPr="003F077F">
        <w:rPr>
          <w:vertAlign w:val="superscript"/>
          <w:lang w:eastAsia="en-GB"/>
        </w:rPr>
        <w:footnoteReference w:id="12"/>
      </w:r>
      <w:r w:rsidR="00377889">
        <w:rPr>
          <w:lang w:eastAsia="en-GB"/>
        </w:rPr>
        <w:t xml:space="preserve"> I</w:t>
      </w:r>
      <w:r w:rsidR="00377889" w:rsidRPr="003F077F">
        <w:rPr>
          <w:lang w:eastAsia="en-GB"/>
        </w:rPr>
        <w:t>n Tennessee</w:t>
      </w:r>
      <w:r w:rsidR="00377889">
        <w:rPr>
          <w:lang w:eastAsia="en-GB"/>
        </w:rPr>
        <w:t xml:space="preserve">, </w:t>
      </w:r>
      <w:r w:rsidRPr="003F077F">
        <w:rPr>
          <w:lang w:eastAsia="en-GB"/>
        </w:rPr>
        <w:t xml:space="preserve">advocates identified approximately 100 </w:t>
      </w:r>
      <w:r w:rsidR="00377889">
        <w:rPr>
          <w:lang w:eastAsia="en-GB"/>
        </w:rPr>
        <w:t xml:space="preserve">of such cases </w:t>
      </w:r>
      <w:r w:rsidRPr="003F077F">
        <w:rPr>
          <w:lang w:eastAsia="en-GB"/>
        </w:rPr>
        <w:t>between 2014 and 2016.</w:t>
      </w:r>
      <w:r w:rsidRPr="003F077F">
        <w:rPr>
          <w:vertAlign w:val="superscript"/>
          <w:lang w:eastAsia="en-GB"/>
        </w:rPr>
        <w:footnoteReference w:id="13"/>
      </w:r>
      <w:r w:rsidRPr="003F077F">
        <w:rPr>
          <w:lang w:eastAsia="en-GB"/>
        </w:rPr>
        <w:t xml:space="preserve"> </w:t>
      </w:r>
    </w:p>
    <w:p w14:paraId="5C49F286" w14:textId="77777777" w:rsidR="003F077F" w:rsidRDefault="003F077F" w:rsidP="003F077F">
      <w:pPr>
        <w:pStyle w:val="RTBodyText"/>
        <w:rPr>
          <w:lang w:eastAsia="en-GB"/>
        </w:rPr>
      </w:pPr>
      <w:r w:rsidRPr="003F077F">
        <w:rPr>
          <w:lang w:eastAsia="en-GB"/>
        </w:rPr>
        <w:lastRenderedPageBreak/>
        <w:t>While there have been some positive changes, such as the expiration of Tennessee’s amendment to its “</w:t>
      </w:r>
      <w:proofErr w:type="spellStart"/>
      <w:r w:rsidRPr="003F077F">
        <w:rPr>
          <w:lang w:eastAsia="en-GB"/>
        </w:rPr>
        <w:t>fetal</w:t>
      </w:r>
      <w:proofErr w:type="spellEnd"/>
      <w:r w:rsidRPr="003F077F">
        <w:rPr>
          <w:lang w:eastAsia="en-GB"/>
        </w:rPr>
        <w:t xml:space="preserve"> assault” law, and an amendment to Alabama’s law that exempts the lawful use of prescription drugs,</w:t>
      </w:r>
      <w:r w:rsidRPr="003F077F">
        <w:rPr>
          <w:vertAlign w:val="superscript"/>
          <w:lang w:eastAsia="en-GB"/>
        </w:rPr>
        <w:footnoteReference w:id="14"/>
      </w:r>
      <w:r w:rsidRPr="003F077F">
        <w:rPr>
          <w:lang w:eastAsia="en-GB"/>
        </w:rPr>
        <w:t xml:space="preserve"> there is also momentum to expand these laws. In 2015, five states proposed bills that would have created new crimes to punish pregnant women.</w:t>
      </w:r>
      <w:r w:rsidRPr="003F077F">
        <w:rPr>
          <w:vertAlign w:val="superscript"/>
          <w:lang w:eastAsia="en-GB"/>
        </w:rPr>
        <w:footnoteReference w:id="15"/>
      </w:r>
    </w:p>
    <w:p w14:paraId="1061F8BB" w14:textId="77777777" w:rsidR="005A2018" w:rsidRPr="003F077F" w:rsidRDefault="005A2018" w:rsidP="003F077F">
      <w:pPr>
        <w:pStyle w:val="RTBodyText"/>
        <w:rPr>
          <w:lang w:eastAsia="en-GB"/>
        </w:rPr>
      </w:pPr>
    </w:p>
    <w:tbl>
      <w:tblPr>
        <w:tblStyle w:val="RTTintedPullout"/>
        <w:tblW w:w="8278" w:type="dxa"/>
        <w:tblLayout w:type="fixed"/>
        <w:tblCellMar>
          <w:right w:w="170" w:type="dxa"/>
        </w:tblCellMar>
        <w:tblLook w:val="04A0" w:firstRow="1" w:lastRow="0" w:firstColumn="1" w:lastColumn="0" w:noHBand="0" w:noVBand="1"/>
      </w:tblPr>
      <w:tblGrid>
        <w:gridCol w:w="8278"/>
      </w:tblGrid>
      <w:tr w:rsidR="003F077F" w:rsidRPr="00C06C22" w14:paraId="38F292C9" w14:textId="77777777" w:rsidTr="008F68FF">
        <w:trPr>
          <w:trHeight w:val="1912"/>
        </w:trPr>
        <w:tc>
          <w:tcPr>
            <w:tcW w:w="6107" w:type="dxa"/>
          </w:tcPr>
          <w:p w14:paraId="1BE9E077" w14:textId="77777777" w:rsidR="003F077F" w:rsidRPr="00C06C22" w:rsidRDefault="003F077F" w:rsidP="008F68FF">
            <w:pPr>
              <w:pStyle w:val="RTSmallheadingCAPS"/>
              <w:rPr>
                <w:lang w:val="en-US"/>
              </w:rPr>
            </w:pPr>
            <w:r w:rsidRPr="00C06C22">
              <w:rPr>
                <w:noProof/>
                <w:lang w:val="fr-CA" w:eastAsia="zh-CN"/>
              </w:rPr>
              <w:drawing>
                <wp:anchor distT="0" distB="0" distL="114300" distR="180340" simplePos="0" relativeHeight="251668992" behindDoc="0" locked="0" layoutInCell="1" allowOverlap="1" wp14:anchorId="4DB11BE1" wp14:editId="1E876DFE">
                  <wp:simplePos x="0" y="0"/>
                  <wp:positionH relativeFrom="column">
                    <wp:posOffset>73660</wp:posOffset>
                  </wp:positionH>
                  <wp:positionV relativeFrom="paragraph">
                    <wp:posOffset>0</wp:posOffset>
                  </wp:positionV>
                  <wp:extent cx="800100" cy="830580"/>
                  <wp:effectExtent l="0" t="0" r="0" b="762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sonimage600.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00100" cy="830580"/>
                          </a:xfrm>
                          <a:prstGeom prst="rect">
                            <a:avLst/>
                          </a:prstGeom>
                        </pic:spPr>
                      </pic:pic>
                    </a:graphicData>
                  </a:graphic>
                  <wp14:sizeRelH relativeFrom="page">
                    <wp14:pctWidth>0</wp14:pctWidth>
                  </wp14:sizeRelH>
                  <wp14:sizeRelV relativeFrom="page">
                    <wp14:pctHeight>0</wp14:pctHeight>
                  </wp14:sizeRelV>
                </wp:anchor>
              </w:drawing>
            </w:r>
            <w:r>
              <w:rPr>
                <w:lang w:val="en-US"/>
              </w:rPr>
              <w:t>How states criminalize</w:t>
            </w:r>
            <w:r w:rsidRPr="00C06C22">
              <w:rPr>
                <w:lang w:val="en-US"/>
              </w:rPr>
              <w:t xml:space="preserve"> </w:t>
            </w:r>
          </w:p>
          <w:p w14:paraId="7654EA47" w14:textId="77777777" w:rsidR="003F077F" w:rsidRPr="003F077F" w:rsidRDefault="003F077F" w:rsidP="003F077F">
            <w:pPr>
              <w:pStyle w:val="RTSmallheadingCAPS"/>
              <w:rPr>
                <w:rFonts w:asciiTheme="minorHAnsi" w:eastAsiaTheme="minorEastAsia" w:hAnsiTheme="minorHAnsi" w:cs="Arial"/>
                <w:b w:val="0"/>
                <w:caps w:val="0"/>
                <w:color w:val="000000" w:themeColor="text1"/>
                <w:sz w:val="18"/>
                <w:szCs w:val="24"/>
                <w:lang w:val="en-US" w:eastAsia="en-US"/>
              </w:rPr>
            </w:pPr>
          </w:p>
          <w:p w14:paraId="32AC96B6" w14:textId="558B0469" w:rsidR="003F077F" w:rsidRPr="003F077F" w:rsidRDefault="003F077F" w:rsidP="003F077F">
            <w:pPr>
              <w:pStyle w:val="RTBodyText"/>
            </w:pPr>
            <w:r w:rsidRPr="003F077F">
              <w:t xml:space="preserve">States’ pregnancy criminalization efforts fall within </w:t>
            </w:r>
            <w:r w:rsidR="005A2018">
              <w:t xml:space="preserve">the </w:t>
            </w:r>
            <w:r w:rsidRPr="003F077F">
              <w:t xml:space="preserve">context of criminalization of sexuality and reproduction. This occurs directly through criminal laws and policies that target particular sexual and reproductive actions, decisions, and identities and indirectly through selective enforcement of criminal, civil and other policies against particular individuals and groups. The result of this type of criminalization is not only arrests, investigations, prosecutions and punishments, but increased stigmatization and an erosion of trust in and relationships with </w:t>
            </w:r>
            <w:r w:rsidR="00CF7C14">
              <w:t>healthcare</w:t>
            </w:r>
            <w:r w:rsidRPr="003F077F">
              <w:t xml:space="preserve"> and social service providers. </w:t>
            </w:r>
          </w:p>
          <w:p w14:paraId="221E93C5" w14:textId="77777777" w:rsidR="003F077F" w:rsidRPr="003F077F" w:rsidRDefault="003F077F" w:rsidP="003F077F">
            <w:pPr>
              <w:pStyle w:val="RTSmallheadingCAPS"/>
            </w:pPr>
            <w:r w:rsidRPr="003F077F">
              <w:t xml:space="preserve">Direct criminalization </w:t>
            </w:r>
          </w:p>
          <w:p w14:paraId="0A17A345" w14:textId="77777777" w:rsidR="003F077F" w:rsidRPr="003F077F" w:rsidRDefault="003F077F" w:rsidP="003F077F">
            <w:pPr>
              <w:pStyle w:val="RTBodyText"/>
            </w:pPr>
            <w:r w:rsidRPr="003F077F">
              <w:t>Governments sometimes criminalize conduct during pregnancy directly through passing and/or implementing criminal laws that explicitly punish specific conduct. For example, Tennessee’s law criminalized women who gave birth to children showing symptoms of narcotic exposure.</w:t>
            </w:r>
          </w:p>
          <w:p w14:paraId="47DF321B" w14:textId="77777777" w:rsidR="003F077F" w:rsidRPr="003F077F" w:rsidRDefault="003F077F" w:rsidP="00B42837">
            <w:pPr>
              <w:pStyle w:val="RTSmallheadingCAPS"/>
            </w:pPr>
            <w:r w:rsidRPr="003F077F">
              <w:t xml:space="preserve">Indirect criminalization </w:t>
            </w:r>
          </w:p>
          <w:p w14:paraId="58921DCF" w14:textId="513510F3" w:rsidR="003F077F" w:rsidRPr="003F077F" w:rsidRDefault="003F077F" w:rsidP="003F077F">
            <w:pPr>
              <w:pStyle w:val="RTBodyText"/>
            </w:pPr>
            <w:r w:rsidRPr="003F077F">
              <w:t>States also criminalize sexual and reproductive actions, decisions and identities indirectly by enforcing existing general criminal laws disproportionately against pregnant women. For example, Alabama’s “chemical endangerment” law was not specifically written to apply to pregnant women but is used disproportionately against them.</w:t>
            </w:r>
          </w:p>
          <w:p w14:paraId="788E6C88" w14:textId="77777777" w:rsidR="003F077F" w:rsidRPr="003F077F" w:rsidRDefault="003F077F" w:rsidP="003F077F">
            <w:pPr>
              <w:pStyle w:val="RTSmallheadingCAPS"/>
            </w:pPr>
            <w:r w:rsidRPr="003F077F">
              <w:t xml:space="preserve">Punitive regulation and criminal status </w:t>
            </w:r>
          </w:p>
          <w:p w14:paraId="0AE6918C" w14:textId="6DC66561" w:rsidR="003F077F" w:rsidRPr="003F077F" w:rsidRDefault="003F077F" w:rsidP="003F077F">
            <w:pPr>
              <w:pStyle w:val="RTBodyText"/>
            </w:pPr>
            <w:r w:rsidRPr="003F077F">
              <w:t xml:space="preserve">Marginalized communities are subject to high levels of policing and drug testing in </w:t>
            </w:r>
            <w:r w:rsidR="00CF7C14">
              <w:t>healthcare</w:t>
            </w:r>
            <w:r w:rsidRPr="003F077F">
              <w:t xml:space="preserve"> settings. Greater interaction with the state can increase the chances that a person will be subject to screening or oversight from the criminal justice or child welfare systems. For example, hospitals serving people with publicly-funded healt</w:t>
            </w:r>
            <w:r w:rsidR="00B42837">
              <w:t>h insurance</w:t>
            </w:r>
            <w:r w:rsidRPr="003F077F">
              <w:t xml:space="preserve"> may decide to test pregnant women for drugs based on suspicion. </w:t>
            </w:r>
          </w:p>
          <w:p w14:paraId="4A6A7051" w14:textId="77777777" w:rsidR="003F077F" w:rsidRPr="003F077F" w:rsidRDefault="00192C92" w:rsidP="003F077F">
            <w:pPr>
              <w:pStyle w:val="RTSmallheadingCAPS"/>
            </w:pPr>
            <w:r>
              <w:t>CRIMIN</w:t>
            </w:r>
            <w:r w:rsidR="003F077F" w:rsidRPr="003F077F">
              <w:t>al law approaches hold strong political cachet</w:t>
            </w:r>
          </w:p>
          <w:p w14:paraId="70639FB3" w14:textId="103B6713" w:rsidR="003F077F" w:rsidRPr="00C06C22" w:rsidRDefault="003F077F" w:rsidP="003470C1">
            <w:pPr>
              <w:pStyle w:val="RTBodyText"/>
            </w:pPr>
            <w:r w:rsidRPr="003F077F">
              <w:t xml:space="preserve">Politicians and legislators often rely on criminal law to demonstrate “state action” to tackle particular social </w:t>
            </w:r>
            <w:r w:rsidR="00064738">
              <w:t>problems</w:t>
            </w:r>
            <w:r w:rsidRPr="003F077F">
              <w:t xml:space="preserve">. Criminal law also has a communicative function; a statement that something is not acceptable in a society. However, criminalization can be a relatively superficial and ill-fitting response to certain issues, and may even be counterproductive to the stated goal. </w:t>
            </w:r>
            <w:r w:rsidR="003470C1">
              <w:t xml:space="preserve">Criminalizing </w:t>
            </w:r>
            <w:r w:rsidRPr="003F077F">
              <w:t>drug use during pregnancy does not</w:t>
            </w:r>
            <w:r w:rsidR="003470C1">
              <w:t xml:space="preserve"> </w:t>
            </w:r>
            <w:r w:rsidRPr="003F077F">
              <w:t xml:space="preserve">improve access to healthcare </w:t>
            </w:r>
            <w:r w:rsidR="003470C1">
              <w:t xml:space="preserve">or </w:t>
            </w:r>
            <w:r w:rsidRPr="003F077F">
              <w:t>lead to healthier pregnancies.</w:t>
            </w:r>
          </w:p>
        </w:tc>
      </w:tr>
    </w:tbl>
    <w:p w14:paraId="4CF5ED21" w14:textId="77777777" w:rsidR="003F077F" w:rsidRDefault="003F077F" w:rsidP="003F077F">
      <w:pPr>
        <w:pStyle w:val="RTBodyText"/>
        <w:rPr>
          <w:lang w:val="en-US" w:eastAsia="en-GB"/>
        </w:rPr>
      </w:pPr>
    </w:p>
    <w:p w14:paraId="1CA2C6DE" w14:textId="77777777" w:rsidR="003470C1" w:rsidRDefault="003470C1" w:rsidP="003F077F">
      <w:pPr>
        <w:pStyle w:val="RTBodyText"/>
        <w:rPr>
          <w:lang w:val="en-US" w:eastAsia="en-GB"/>
        </w:rPr>
      </w:pPr>
    </w:p>
    <w:p w14:paraId="2BB3F350" w14:textId="77777777" w:rsidR="003470C1" w:rsidRDefault="003470C1" w:rsidP="003F077F">
      <w:pPr>
        <w:pStyle w:val="RTBodyText"/>
        <w:rPr>
          <w:lang w:val="en-US" w:eastAsia="en-GB"/>
        </w:rPr>
      </w:pPr>
    </w:p>
    <w:p w14:paraId="318A1489" w14:textId="77777777" w:rsidR="003470C1" w:rsidRDefault="003470C1" w:rsidP="003F077F">
      <w:pPr>
        <w:pStyle w:val="RTBodyText"/>
        <w:rPr>
          <w:lang w:val="en-US" w:eastAsia="en-GB"/>
        </w:rPr>
      </w:pPr>
    </w:p>
    <w:p w14:paraId="1942A8C2" w14:textId="77777777" w:rsidR="003470C1" w:rsidRDefault="003470C1" w:rsidP="003F077F">
      <w:pPr>
        <w:pStyle w:val="RTBodyText"/>
        <w:rPr>
          <w:lang w:val="en-US" w:eastAsia="en-GB"/>
        </w:rPr>
      </w:pPr>
    </w:p>
    <w:p w14:paraId="1196E91A" w14:textId="7BED27AC" w:rsidR="00681F10" w:rsidRDefault="00C32F7C" w:rsidP="00681F10">
      <w:pPr>
        <w:pStyle w:val="RTNumberedHeading"/>
      </w:pPr>
      <w:bookmarkStart w:id="4" w:name="_Toc482741418"/>
      <w:r>
        <w:lastRenderedPageBreak/>
        <w:t>TYPES OF LAWS that crim</w:t>
      </w:r>
      <w:r w:rsidR="00681F10" w:rsidRPr="00681F10">
        <w:t xml:space="preserve">INALIZE </w:t>
      </w:r>
      <w:r w:rsidR="00D04949">
        <w:br/>
      </w:r>
      <w:r w:rsidR="00681F10" w:rsidRPr="00681F10">
        <w:t>PREGNANT WOMEN</w:t>
      </w:r>
      <w:bookmarkEnd w:id="4"/>
    </w:p>
    <w:p w14:paraId="65794350" w14:textId="77777777" w:rsidR="002E4582" w:rsidRPr="002E4582" w:rsidRDefault="002E4582" w:rsidP="002E4582">
      <w:pPr>
        <w:pStyle w:val="RTBodyText"/>
        <w:rPr>
          <w:lang w:eastAsia="en-GB"/>
        </w:rPr>
      </w:pPr>
    </w:p>
    <w:p w14:paraId="1194954C" w14:textId="77777777" w:rsidR="006D7870" w:rsidRPr="0023267A" w:rsidRDefault="006D7870" w:rsidP="006D7870">
      <w:pPr>
        <w:pStyle w:val="RTNumberedSubheading"/>
      </w:pPr>
      <w:bookmarkStart w:id="5" w:name="_Toc482741419"/>
      <w:r w:rsidRPr="0023267A">
        <w:t>“Fetal Personhood” Measures</w:t>
      </w:r>
      <w:bookmarkEnd w:id="5"/>
    </w:p>
    <w:p w14:paraId="0C302D00" w14:textId="7F07B8F3" w:rsidR="006D7870" w:rsidRPr="00D06B9E" w:rsidRDefault="006D7870" w:rsidP="006D7870">
      <w:pPr>
        <w:pStyle w:val="RTBodyText"/>
      </w:pPr>
      <w:r w:rsidRPr="00D06B9E">
        <w:t xml:space="preserve">Increasing punitive regulation of pregnant women </w:t>
      </w:r>
      <w:r>
        <w:t xml:space="preserve">in the USA </w:t>
      </w:r>
      <w:r w:rsidRPr="00D06B9E">
        <w:t>has occurred against the backdrop of an</w:t>
      </w:r>
      <w:r>
        <w:t xml:space="preserve"> ongoing hostile debate around “</w:t>
      </w:r>
      <w:proofErr w:type="spellStart"/>
      <w:r>
        <w:t>fetal</w:t>
      </w:r>
      <w:proofErr w:type="spellEnd"/>
      <w:r>
        <w:t xml:space="preserve"> personhood” measures, also known as “prenatal personhood” measures. These measures refer to attempts to establish fertilized eggs, embryos and/or </w:t>
      </w:r>
      <w:proofErr w:type="spellStart"/>
      <w:r>
        <w:t>fetuses</w:t>
      </w:r>
      <w:proofErr w:type="spellEnd"/>
      <w:r>
        <w:t xml:space="preserve"> as </w:t>
      </w:r>
      <w:r w:rsidRPr="00157C9E">
        <w:t>“legal persons”</w:t>
      </w:r>
      <w:r>
        <w:t xml:space="preserve"> (separate from pregnant women) with equal rights to others.</w:t>
      </w:r>
    </w:p>
    <w:p w14:paraId="2F3B08CE" w14:textId="021CDC12" w:rsidR="006D7870" w:rsidRPr="00D06B9E" w:rsidRDefault="006D7870" w:rsidP="006D7870">
      <w:pPr>
        <w:pStyle w:val="RTBodyText"/>
      </w:pPr>
      <w:r w:rsidRPr="00D06B9E">
        <w:t xml:space="preserve">Some measures have attempted to secure legal rights for fertilized eggs, embryos and </w:t>
      </w:r>
      <w:proofErr w:type="spellStart"/>
      <w:r w:rsidRPr="00D06B9E">
        <w:t>fetuses</w:t>
      </w:r>
      <w:proofErr w:type="spellEnd"/>
      <w:r w:rsidRPr="00D06B9E">
        <w:t xml:space="preserve"> by defining life as beginning at the moment of fertilization.</w:t>
      </w:r>
      <w:r>
        <w:t xml:space="preserve"> For example,</w:t>
      </w:r>
      <w:r w:rsidR="00AF12B1" w:rsidRPr="00AF12B1">
        <w:rPr>
          <w:rFonts w:ascii="Amnesty Trade Gothic Light Obl" w:hAnsi="Amnesty Trade Gothic Light Obl"/>
          <w:sz w:val="14"/>
          <w:szCs w:val="20"/>
          <w:lang w:val="en-US"/>
        </w:rPr>
        <w:t xml:space="preserve"> </w:t>
      </w:r>
      <w:r w:rsidR="00707B8F">
        <w:rPr>
          <w:lang w:val="en-US"/>
        </w:rPr>
        <w:t>i</w:t>
      </w:r>
      <w:r w:rsidR="00AF12B1" w:rsidRPr="00AF12B1">
        <w:rPr>
          <w:lang w:val="en-US"/>
        </w:rPr>
        <w:t>n early 2017, 18 states introduced personhood measures</w:t>
      </w:r>
      <w:r w:rsidR="00AF12B1" w:rsidRPr="00AF12B1">
        <w:rPr>
          <w:vertAlign w:val="superscript"/>
          <w:lang w:val="en-US"/>
        </w:rPr>
        <w:footnoteReference w:id="16"/>
      </w:r>
      <w:r w:rsidR="00AF12B1" w:rsidRPr="00AF12B1">
        <w:rPr>
          <w:lang w:val="en-US"/>
        </w:rPr>
        <w:t xml:space="preserve"> and</w:t>
      </w:r>
      <w:r>
        <w:t xml:space="preserve"> in 2016, 15 states introduced measures to ban abortion by establishing </w:t>
      </w:r>
      <w:proofErr w:type="spellStart"/>
      <w:r>
        <w:t>fetal</w:t>
      </w:r>
      <w:proofErr w:type="spellEnd"/>
      <w:r>
        <w:t xml:space="preserve"> personhood, though none of them passed.</w:t>
      </w:r>
      <w:r w:rsidRPr="004609F2">
        <w:rPr>
          <w:vertAlign w:val="superscript"/>
        </w:rPr>
        <w:footnoteReference w:id="17"/>
      </w:r>
      <w:r w:rsidRPr="00D06B9E">
        <w:t xml:space="preserve"> Others have proposed state constitutional amendments that provide that </w:t>
      </w:r>
      <w:r>
        <w:t>the term</w:t>
      </w:r>
      <w:r w:rsidRPr="00D06B9E">
        <w:t xml:space="preserve"> “person” means “every human being from the moment of fertilization, cloning, or the functional equivalent thereof.”</w:t>
      </w:r>
      <w:r w:rsidRPr="00D06B9E">
        <w:rPr>
          <w:vertAlign w:val="superscript"/>
        </w:rPr>
        <w:footnoteReference w:id="18"/>
      </w:r>
      <w:r w:rsidRPr="00D06B9E">
        <w:t xml:space="preserve"> </w:t>
      </w:r>
      <w:r>
        <w:t>This would have the effect of attaching the state constitution’s right to life from the earliest stages of pregnancies, and in some proposals, would have changed the penal law so that abortion would become first-degree murder.</w:t>
      </w:r>
      <w:r w:rsidRPr="004609F2">
        <w:rPr>
          <w:vertAlign w:val="superscript"/>
        </w:rPr>
        <w:footnoteReference w:id="19"/>
      </w:r>
      <w:r>
        <w:t xml:space="preserve"> </w:t>
      </w:r>
      <w:r w:rsidRPr="00D06B9E">
        <w:t xml:space="preserve">While none of these explicit measures to </w:t>
      </w:r>
      <w:r>
        <w:t>establish “</w:t>
      </w:r>
      <w:proofErr w:type="spellStart"/>
      <w:r>
        <w:t>fetal</w:t>
      </w:r>
      <w:proofErr w:type="spellEnd"/>
      <w:r w:rsidRPr="00D06B9E">
        <w:t xml:space="preserve"> personhood</w:t>
      </w:r>
      <w:r>
        <w:t>”</w:t>
      </w:r>
      <w:r w:rsidRPr="00D06B9E">
        <w:t xml:space="preserve"> have passed to date</w:t>
      </w:r>
      <w:r>
        <w:t>,</w:t>
      </w:r>
      <w:r w:rsidRPr="00D06B9E">
        <w:rPr>
          <w:vertAlign w:val="superscript"/>
        </w:rPr>
        <w:footnoteReference w:id="20"/>
      </w:r>
      <w:r w:rsidRPr="00D06B9E">
        <w:t xml:space="preserve"> many states have incorporated similar definitions of “person” into state criminal codes in order to </w:t>
      </w:r>
      <w:r>
        <w:t>include</w:t>
      </w:r>
      <w:r w:rsidRPr="00D06B9E">
        <w:t xml:space="preserve"> fertilized eggs, embryos or </w:t>
      </w:r>
      <w:proofErr w:type="spellStart"/>
      <w:r>
        <w:t>fetuses</w:t>
      </w:r>
      <w:proofErr w:type="spellEnd"/>
      <w:r>
        <w:t xml:space="preserve"> within</w:t>
      </w:r>
      <w:r w:rsidRPr="00D06B9E">
        <w:t xml:space="preserve"> the potential victims of violent crime.</w:t>
      </w:r>
      <w:r w:rsidRPr="00D06B9E">
        <w:rPr>
          <w:vertAlign w:val="superscript"/>
        </w:rPr>
        <w:footnoteReference w:id="21"/>
      </w:r>
      <w:r w:rsidRPr="00D06B9E">
        <w:t xml:space="preserve">  </w:t>
      </w:r>
    </w:p>
    <w:p w14:paraId="78184F17" w14:textId="06CD9C55" w:rsidR="00681F10" w:rsidRPr="00681F10" w:rsidRDefault="006D7870" w:rsidP="006D7870">
      <w:pPr>
        <w:pStyle w:val="RTBodyText"/>
        <w:rPr>
          <w:lang w:val="en-US" w:eastAsia="en-GB"/>
        </w:rPr>
      </w:pPr>
      <w:r>
        <w:t>These initiatives contravene international human rights standards which confirm that human rights protections do not apply before birth. The history of the development of UN human rights treaties, including the Convention on the Rights of the Child (CRC), and the subsequent interpretation of their right to life provisions by their official interpretative bodies, shows that the right to life treaty provisions only apply after birth.</w:t>
      </w:r>
      <w:r>
        <w:footnoteReference w:id="22"/>
      </w:r>
      <w:r>
        <w:t xml:space="preserve"> While human rights bodies have recognized that states have an interest in promoting healthy pregnancies, this cannot be at the expense of women’s human rights. UN bodies have</w:t>
      </w:r>
      <w:r w:rsidRPr="006E6D03">
        <w:t xml:space="preserve"> recognized that prenatal </w:t>
      </w:r>
      <w:r>
        <w:t>development</w:t>
      </w:r>
      <w:r w:rsidRPr="006E6D03">
        <w:t xml:space="preserve"> can be protected through promoting the health and well-being of pregnant women, through adequate maternal healthcare, information and goods and services.</w:t>
      </w:r>
      <w:r w:rsidRPr="00F54248">
        <w:rPr>
          <w:rFonts w:ascii="Amnesty Trade Gothic" w:hAnsi="Amnesty Trade Gothic"/>
          <w:vertAlign w:val="superscript"/>
        </w:rPr>
        <w:footnoteReference w:id="23"/>
      </w:r>
    </w:p>
    <w:p w14:paraId="579F2F4C" w14:textId="1505D061" w:rsidR="0078797D" w:rsidRDefault="00D62992" w:rsidP="00681F10">
      <w:pPr>
        <w:pStyle w:val="RTNumberedSubheading"/>
      </w:pPr>
      <w:bookmarkStart w:id="6" w:name="_Toc482741420"/>
      <w:r>
        <w:t>“</w:t>
      </w:r>
      <w:r w:rsidR="00681F10" w:rsidRPr="00681F10">
        <w:t>FETAL ASSAULT</w:t>
      </w:r>
      <w:r>
        <w:t>”</w:t>
      </w:r>
      <w:r w:rsidR="00681F10" w:rsidRPr="00681F10">
        <w:t xml:space="preserve"> LAWS: DEFINING FETUSES AS VICTIMS OF CRIME</w:t>
      </w:r>
      <w:bookmarkEnd w:id="6"/>
    </w:p>
    <w:p w14:paraId="70F942CE" w14:textId="763AC79F" w:rsidR="0078797D" w:rsidRPr="00685453" w:rsidRDefault="005C21C8" w:rsidP="004B518C">
      <w:pPr>
        <w:pStyle w:val="RTBodyText"/>
      </w:pPr>
      <w:r>
        <w:t xml:space="preserve">Laws in which the “victim” of a crime can include a </w:t>
      </w:r>
      <w:proofErr w:type="spellStart"/>
      <w:r>
        <w:t>fetus</w:t>
      </w:r>
      <w:proofErr w:type="spellEnd"/>
      <w:r>
        <w:t>, g</w:t>
      </w:r>
      <w:r w:rsidR="0078797D">
        <w:t>enerally called “</w:t>
      </w:r>
      <w:proofErr w:type="spellStart"/>
      <w:r w:rsidR="0078797D">
        <w:t>fetal</w:t>
      </w:r>
      <w:proofErr w:type="spellEnd"/>
      <w:r w:rsidR="0078797D">
        <w:t xml:space="preserve"> assault,” “</w:t>
      </w:r>
      <w:proofErr w:type="spellStart"/>
      <w:r w:rsidR="0078797D">
        <w:t>fetal</w:t>
      </w:r>
      <w:proofErr w:type="spellEnd"/>
      <w:r w:rsidR="0078797D">
        <w:t xml:space="preserve"> homicide” or “</w:t>
      </w:r>
      <w:proofErr w:type="spellStart"/>
      <w:r w:rsidR="0078797D">
        <w:t>fetal</w:t>
      </w:r>
      <w:proofErr w:type="spellEnd"/>
      <w:r w:rsidR="0078797D">
        <w:t xml:space="preserve"> protection” </w:t>
      </w:r>
      <w:proofErr w:type="gramStart"/>
      <w:r w:rsidR="0078797D">
        <w:t>laws,</w:t>
      </w:r>
      <w:proofErr w:type="gramEnd"/>
      <w:r w:rsidR="0078797D">
        <w:t xml:space="preserve"> </w:t>
      </w:r>
      <w:r w:rsidR="0070509E">
        <w:t xml:space="preserve">exist in </w:t>
      </w:r>
      <w:r w:rsidR="0078797D" w:rsidRPr="00D06B9E">
        <w:t xml:space="preserve">38 </w:t>
      </w:r>
      <w:r w:rsidR="0078797D">
        <w:t>states</w:t>
      </w:r>
      <w:r w:rsidR="0078797D" w:rsidRPr="00D06B9E">
        <w:t xml:space="preserve"> and 23 states apply these laws </w:t>
      </w:r>
      <w:r w:rsidR="0078797D">
        <w:t>at</w:t>
      </w:r>
      <w:r w:rsidR="0078797D" w:rsidRPr="00D06B9E">
        <w:t xml:space="preserve"> any stage of gestation.</w:t>
      </w:r>
      <w:r w:rsidR="0078797D" w:rsidRPr="00D06B9E">
        <w:rPr>
          <w:vertAlign w:val="superscript"/>
        </w:rPr>
        <w:footnoteReference w:id="24"/>
      </w:r>
      <w:r w:rsidR="0078797D" w:rsidRPr="00D06B9E">
        <w:t xml:space="preserve"> </w:t>
      </w:r>
      <w:r w:rsidR="0078797D">
        <w:t>These laws can be vague and broad, sometimes so much so that legal experts argue they transgress US</w:t>
      </w:r>
      <w:r w:rsidR="004609F2">
        <w:t xml:space="preserve"> </w:t>
      </w:r>
      <w:r w:rsidR="0078797D">
        <w:t xml:space="preserve">constitutional </w:t>
      </w:r>
      <w:r w:rsidR="0078797D">
        <w:lastRenderedPageBreak/>
        <w:t>standards.</w:t>
      </w:r>
      <w:r w:rsidR="0078797D" w:rsidRPr="004609F2">
        <w:rPr>
          <w:vertAlign w:val="superscript"/>
        </w:rPr>
        <w:footnoteReference w:id="25"/>
      </w:r>
      <w:r w:rsidR="0078797D">
        <w:t xml:space="preserve"> Tennessee’s law specified that a woman can be prosecuted for any “act” or “omission” deemed unlawful.</w:t>
      </w:r>
      <w:r w:rsidR="0078797D" w:rsidRPr="004609F2">
        <w:rPr>
          <w:rFonts w:ascii="Amnesty Trade Gothic" w:hAnsi="Amnesty Trade Gothic"/>
          <w:vertAlign w:val="superscript"/>
        </w:rPr>
        <w:footnoteReference w:id="26"/>
      </w:r>
      <w:r w:rsidR="0078797D">
        <w:t xml:space="preserve"> Around the </w:t>
      </w:r>
      <w:r w:rsidR="0070509E">
        <w:t>US</w:t>
      </w:r>
      <w:r w:rsidR="0078797D">
        <w:t xml:space="preserve">, women have been charged with crimes </w:t>
      </w:r>
      <w:r w:rsidR="00EA0383">
        <w:t xml:space="preserve">under such laws </w:t>
      </w:r>
      <w:r w:rsidR="0078797D">
        <w:t>for a range of actions including failing to wear a seatbelt, falling down stairs, attempting suicide and refusing medical interventions.</w:t>
      </w:r>
      <w:r w:rsidR="0078797D" w:rsidRPr="004609F2">
        <w:rPr>
          <w:rFonts w:ascii="Amnesty Trade Gothic" w:hAnsi="Amnesty Trade Gothic"/>
          <w:vertAlign w:val="superscript"/>
        </w:rPr>
        <w:footnoteReference w:id="27"/>
      </w:r>
      <w:r w:rsidR="0078797D">
        <w:t xml:space="preserve"> </w:t>
      </w:r>
      <w:r w:rsidR="0070509E">
        <w:t>Pregnant w</w:t>
      </w:r>
      <w:r w:rsidR="0078797D">
        <w:t xml:space="preserve">omen are not always aware that what they are doing could be considered a crime. </w:t>
      </w:r>
      <w:r w:rsidR="0078797D" w:rsidRPr="00860673">
        <w:rPr>
          <w:szCs w:val="18"/>
        </w:rPr>
        <w:t>The principle of legality is a foundational requirement contained in almost every international human rights instrument.</w:t>
      </w:r>
      <w:r w:rsidR="0078797D" w:rsidRPr="004609F2">
        <w:rPr>
          <w:szCs w:val="18"/>
          <w:vertAlign w:val="superscript"/>
        </w:rPr>
        <w:footnoteReference w:id="28"/>
      </w:r>
      <w:r w:rsidR="0078797D" w:rsidRPr="00860673">
        <w:rPr>
          <w:szCs w:val="18"/>
        </w:rPr>
        <w:t xml:space="preserve"> It requires that crimes and punishments be defined by law in a manner that is accessible to the population and that clearly outlines what conduct is criminalized. </w:t>
      </w:r>
    </w:p>
    <w:p w14:paraId="2584D3A5" w14:textId="6CB17687" w:rsidR="0078797D" w:rsidRDefault="0078797D" w:rsidP="004B518C">
      <w:pPr>
        <w:pStyle w:val="RTBodyText"/>
        <w:rPr>
          <w:rFonts w:ascii="Amnesty Trade Gothic" w:hAnsi="Amnesty Trade Gothic"/>
        </w:rPr>
      </w:pPr>
      <w:r w:rsidRPr="00D06B9E">
        <w:t xml:space="preserve">While </w:t>
      </w:r>
      <w:r>
        <w:t xml:space="preserve">some </w:t>
      </w:r>
      <w:r w:rsidRPr="00D06B9E">
        <w:t>state laws specifically carve out an exception for</w:t>
      </w:r>
      <w:r>
        <w:t xml:space="preserve"> women’s actions in relation to their own pregnancies, including</w:t>
      </w:r>
      <w:r w:rsidRPr="00D06B9E">
        <w:t xml:space="preserve"> “legal abortion,” this exception is not adequate to protect women’s and girls’ health and human rights.</w:t>
      </w:r>
      <w:r w:rsidRPr="00D06B9E">
        <w:rPr>
          <w:vertAlign w:val="superscript"/>
        </w:rPr>
        <w:footnoteReference w:id="29"/>
      </w:r>
      <w:r w:rsidRPr="00D06B9E">
        <w:t xml:space="preserve"> The definition of what constitutes a “legal” abortion can be quite narrow due to restrictive anti-abortion measures and in several cases</w:t>
      </w:r>
      <w:r w:rsidR="00EA0383">
        <w:t>,</w:t>
      </w:r>
      <w:r w:rsidRPr="00D06B9E">
        <w:t xml:space="preserve"> </w:t>
      </w:r>
      <w:r>
        <w:t>women have been prosecuted for trying</w:t>
      </w:r>
      <w:r w:rsidRPr="00D06B9E">
        <w:t xml:space="preserve"> to end their own pregnancies with </w:t>
      </w:r>
      <w:r>
        <w:t xml:space="preserve">physical means, with </w:t>
      </w:r>
      <w:r w:rsidRPr="00D06B9E">
        <w:t>medication or to assist others</w:t>
      </w:r>
      <w:r>
        <w:t xml:space="preserve"> in </w:t>
      </w:r>
      <w:r w:rsidR="00561CAA">
        <w:t>obtaining an abortion</w:t>
      </w:r>
      <w:r w:rsidRPr="00D06B9E">
        <w:t>.</w:t>
      </w:r>
      <w:r w:rsidRPr="00D06B9E">
        <w:rPr>
          <w:vertAlign w:val="superscript"/>
        </w:rPr>
        <w:footnoteReference w:id="30"/>
      </w:r>
      <w:r w:rsidRPr="00E14DC3">
        <w:rPr>
          <w:rFonts w:ascii="Amnesty Trade Gothic" w:hAnsi="Amnesty Trade Gothic"/>
        </w:rPr>
        <w:t xml:space="preserve"> </w:t>
      </w:r>
    </w:p>
    <w:p w14:paraId="73B82FB0" w14:textId="09358523" w:rsidR="0078797D" w:rsidRDefault="0078797D" w:rsidP="004B518C">
      <w:pPr>
        <w:pStyle w:val="RTBodyText"/>
      </w:pPr>
      <w:r>
        <w:t xml:space="preserve">The effect of these laws is to leave marginalized pregnant women and girls increasingly at risk of prosecution for their circumstances, establishing a form of criminal liability that only applies to pregnant women. This creates a barrier to accessing </w:t>
      </w:r>
      <w:r w:rsidR="00CF7C14">
        <w:t>healthcare</w:t>
      </w:r>
      <w:r>
        <w:t xml:space="preserve"> services and drug treatment. </w:t>
      </w:r>
    </w:p>
    <w:p w14:paraId="7C0A6F77" w14:textId="77777777" w:rsidR="0078797D" w:rsidRPr="00333BB1" w:rsidRDefault="0078797D" w:rsidP="004B518C">
      <w:pPr>
        <w:pStyle w:val="RTBodyText"/>
      </w:pPr>
      <w:r w:rsidRPr="00333BB1">
        <w:t xml:space="preserve">According to prominent legal scholar Michele Goodwin, medical </w:t>
      </w:r>
      <w:proofErr w:type="gramStart"/>
      <w:r w:rsidRPr="00333BB1">
        <w:t>staff are</w:t>
      </w:r>
      <w:proofErr w:type="gramEnd"/>
      <w:r w:rsidRPr="00333BB1">
        <w:t xml:space="preserve"> the primary enforcers of state ‘</w:t>
      </w:r>
      <w:proofErr w:type="spellStart"/>
      <w:r w:rsidRPr="00333BB1">
        <w:t>fetal</w:t>
      </w:r>
      <w:proofErr w:type="spellEnd"/>
      <w:r w:rsidRPr="00333BB1">
        <w:t xml:space="preserve"> protection’ laws, with support of police, prosecutors and judges.</w:t>
      </w:r>
    </w:p>
    <w:tbl>
      <w:tblPr>
        <w:tblStyle w:val="TableGrid"/>
        <w:tblW w:w="8307" w:type="dxa"/>
        <w:tblBorders>
          <w:top w:val="none" w:sz="0" w:space="0" w:color="auto"/>
          <w:left w:val="single" w:sz="48" w:space="0" w:color="000000" w:themeColor="text1"/>
          <w:bottom w:val="none" w:sz="0" w:space="0" w:color="auto"/>
          <w:right w:val="none" w:sz="0" w:space="0" w:color="auto"/>
          <w:insideH w:val="none" w:sz="0" w:space="0" w:color="auto"/>
          <w:insideV w:val="none" w:sz="0" w:space="0" w:color="auto"/>
        </w:tblBorders>
        <w:tblLayout w:type="fixed"/>
        <w:tblCellMar>
          <w:top w:w="113" w:type="dxa"/>
          <w:left w:w="227" w:type="dxa"/>
          <w:right w:w="0" w:type="dxa"/>
        </w:tblCellMar>
        <w:tblLook w:val="04A0" w:firstRow="1" w:lastRow="0" w:firstColumn="1" w:lastColumn="0" w:noHBand="0" w:noVBand="1"/>
      </w:tblPr>
      <w:tblGrid>
        <w:gridCol w:w="8307"/>
      </w:tblGrid>
      <w:tr w:rsidR="004B518C" w:rsidRPr="00443A83" w14:paraId="7172034F" w14:textId="77777777" w:rsidTr="00C32F7C">
        <w:trPr>
          <w:trHeight w:val="383"/>
        </w:trPr>
        <w:tc>
          <w:tcPr>
            <w:tcW w:w="8307" w:type="dxa"/>
          </w:tcPr>
          <w:p w14:paraId="3763243D" w14:textId="77777777" w:rsidR="004B518C" w:rsidRPr="00333BB1" w:rsidRDefault="004B518C" w:rsidP="00C32F7C">
            <w:pPr>
              <w:pStyle w:val="RTQuoteText"/>
              <w:rPr>
                <w:rFonts w:ascii="Amnesty Trade Gothic Cn" w:hAnsi="Amnesty Trade Gothic Cn"/>
                <w:b w:val="0"/>
                <w:szCs w:val="36"/>
                <w:lang w:val="en-US"/>
              </w:rPr>
            </w:pPr>
            <w:r w:rsidRPr="00333BB1">
              <w:rPr>
                <w:rFonts w:ascii="Amnesty Trade Gothic Cn" w:hAnsi="Amnesty Trade Gothic Cn"/>
                <w:szCs w:val="36"/>
                <w:lang w:val="en-US"/>
              </w:rPr>
              <w:t>“We should be concerned about non-legally-trained medical staff increasingly enforcing fetal protection laws, as thirty-eight states have adopted some form of feticide legislation.”</w:t>
            </w:r>
          </w:p>
        </w:tc>
      </w:tr>
      <w:tr w:rsidR="004B518C" w:rsidRPr="00C06C22" w14:paraId="1FC59C75" w14:textId="77777777" w:rsidTr="00C32F7C">
        <w:trPr>
          <w:trHeight w:val="367"/>
        </w:trPr>
        <w:tc>
          <w:tcPr>
            <w:tcW w:w="8307" w:type="dxa"/>
          </w:tcPr>
          <w:p w14:paraId="3DF5F505" w14:textId="77777777" w:rsidR="004B518C" w:rsidRPr="00C06C22" w:rsidRDefault="004B518C" w:rsidP="00C32F7C">
            <w:pPr>
              <w:pStyle w:val="RTSourceText"/>
              <w:rPr>
                <w:lang w:val="en-US"/>
              </w:rPr>
            </w:pPr>
            <w:r w:rsidRPr="00333BB1">
              <w:rPr>
                <w:lang w:val="en-US"/>
              </w:rPr>
              <w:t>Michele Goodwin, “Fetal Protection Laws: Moral Panic and the New Constitutional Battlefront”, California Law Review, 2014.</w:t>
            </w:r>
          </w:p>
        </w:tc>
      </w:tr>
    </w:tbl>
    <w:p w14:paraId="19F83A95" w14:textId="77777777" w:rsidR="0023267A" w:rsidRDefault="0023267A" w:rsidP="004B518C">
      <w:pPr>
        <w:pStyle w:val="RTBodyText"/>
      </w:pPr>
    </w:p>
    <w:p w14:paraId="6FB09219" w14:textId="77777777" w:rsidR="00321B9F" w:rsidRPr="0023267A" w:rsidRDefault="00321B9F" w:rsidP="004B518C">
      <w:pPr>
        <w:pStyle w:val="RTBodyText"/>
      </w:pPr>
    </w:p>
    <w:tbl>
      <w:tblPr>
        <w:tblStyle w:val="TableGrid"/>
        <w:tblW w:w="8278" w:type="dxa"/>
        <w:tblBorders>
          <w:top w:val="none" w:sz="0" w:space="0" w:color="auto"/>
          <w:left w:val="single" w:sz="48" w:space="0" w:color="808080" w:themeColor="text2"/>
          <w:bottom w:val="none" w:sz="0" w:space="0" w:color="auto"/>
          <w:right w:val="none" w:sz="0" w:space="0" w:color="auto"/>
          <w:insideH w:val="none" w:sz="0" w:space="0" w:color="auto"/>
          <w:insideV w:val="none" w:sz="0" w:space="0" w:color="auto"/>
        </w:tblBorders>
        <w:tblCellMar>
          <w:top w:w="113" w:type="dxa"/>
          <w:left w:w="227" w:type="dxa"/>
          <w:right w:w="0" w:type="dxa"/>
        </w:tblCellMar>
        <w:tblLook w:val="04A0" w:firstRow="1" w:lastRow="0" w:firstColumn="1" w:lastColumn="0" w:noHBand="0" w:noVBand="1"/>
      </w:tblPr>
      <w:tblGrid>
        <w:gridCol w:w="862"/>
        <w:gridCol w:w="7416"/>
      </w:tblGrid>
      <w:tr w:rsidR="0023267A" w:rsidRPr="00C06C22" w14:paraId="3BF8C2B6" w14:textId="77777777" w:rsidTr="008F68FF">
        <w:trPr>
          <w:trHeight w:val="499"/>
        </w:trPr>
        <w:tc>
          <w:tcPr>
            <w:tcW w:w="862" w:type="dxa"/>
          </w:tcPr>
          <w:p w14:paraId="62EC322E" w14:textId="77777777" w:rsidR="0023267A" w:rsidRPr="00C06C22" w:rsidRDefault="0023267A" w:rsidP="008F68FF">
            <w:r w:rsidRPr="00C06C22">
              <w:rPr>
                <w:noProof/>
                <w:lang w:val="fr-CA" w:eastAsia="zh-CN"/>
              </w:rPr>
              <w:drawing>
                <wp:anchor distT="0" distB="0" distL="114300" distR="114300" simplePos="0" relativeHeight="251671040" behindDoc="1" locked="0" layoutInCell="1" allowOverlap="1" wp14:anchorId="4C93684A" wp14:editId="4E14AF81">
                  <wp:simplePos x="0" y="0"/>
                  <wp:positionH relativeFrom="page">
                    <wp:posOffset>75062</wp:posOffset>
                  </wp:positionH>
                  <wp:positionV relativeFrom="page">
                    <wp:posOffset>-142611</wp:posOffset>
                  </wp:positionV>
                  <wp:extent cx="367030" cy="443230"/>
                  <wp:effectExtent l="0" t="0" r="0" b="0"/>
                  <wp:wrapNone/>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toreplace.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67030" cy="443230"/>
                          </a:xfrm>
                          <a:prstGeom prst="rect">
                            <a:avLst/>
                          </a:prstGeom>
                          <a:extLst>
                            <a:ext uri="{FAA26D3D-D897-4be2-8F04-BA451C77F1D7}">
                              <ma14:placeholderFlag xmlns:arto="http://schemas.microsoft.com/office/word/2006/arto" xmlns:cx="http://schemas.microsoft.com/office/drawing/2014/chartex" xmlns:cx1="http://schemas.microsoft.com/office/drawing/2015/9/8/chartex" xmlns:cx2="http://schemas.microsoft.com/office/drawing/2015/10/21/chartex" xmlns:w16se="http://schemas.microsoft.com/office/word/2015/wordml/symex"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5="http://schemas.microsoft.com/office/word/2012/wordml"/>
                            </a:ext>
                          </a:extLst>
                        </pic:spPr>
                      </pic:pic>
                    </a:graphicData>
                  </a:graphic>
                </wp:anchor>
              </w:drawing>
            </w:r>
          </w:p>
        </w:tc>
        <w:tc>
          <w:tcPr>
            <w:tcW w:w="7416" w:type="dxa"/>
          </w:tcPr>
          <w:p w14:paraId="1A4DF690" w14:textId="77777777" w:rsidR="0023267A" w:rsidRPr="00C06C22" w:rsidRDefault="0023267A" w:rsidP="0023267A">
            <w:pPr>
              <w:pStyle w:val="RTSmallheadingCAPS"/>
              <w:rPr>
                <w:lang w:val="en-US"/>
              </w:rPr>
            </w:pPr>
            <w:r>
              <w:rPr>
                <w:lang w:val="en-US"/>
              </w:rPr>
              <w:t xml:space="preserve">Purvi Patel: criminalization of self-induced abortion </w:t>
            </w:r>
          </w:p>
        </w:tc>
      </w:tr>
      <w:tr w:rsidR="0023267A" w:rsidRPr="00C06C22" w14:paraId="2DCCAB0C" w14:textId="77777777" w:rsidTr="008F68FF">
        <w:tc>
          <w:tcPr>
            <w:tcW w:w="8278" w:type="dxa"/>
            <w:gridSpan w:val="2"/>
          </w:tcPr>
          <w:p w14:paraId="51529622" w14:textId="64A86B46" w:rsidR="0023267A" w:rsidRPr="0023267A" w:rsidRDefault="0023267A" w:rsidP="0023267A">
            <w:pPr>
              <w:pStyle w:val="RTBodyText"/>
            </w:pPr>
            <w:r w:rsidRPr="0023267A">
              <w:t xml:space="preserve">In 2015, </w:t>
            </w:r>
            <w:proofErr w:type="spellStart"/>
            <w:r w:rsidRPr="0023267A">
              <w:t>Purvi</w:t>
            </w:r>
            <w:proofErr w:type="spellEnd"/>
            <w:r w:rsidRPr="0023267A">
              <w:t xml:space="preserve"> Patel, a South Asian-American woman in Indiana, was sentenced to twenty years of imprisonment after a self-induced medical abortion. Patel's prosecution involved a novel application of Indiana Code § 35-42-1-6 (“the Feticide Statute”) and Indiana Code § 35-46-1-4(b) (“the Child Neglect Statute”) to criminally prosecute Patel for seeking to terminate her pregnancy and for failing to summon </w:t>
            </w:r>
            <w:r w:rsidRPr="0023267A">
              <w:lastRenderedPageBreak/>
              <w:t>medical services immediately following the unexpected emergency delivery.</w:t>
            </w:r>
          </w:p>
          <w:p w14:paraId="68568445" w14:textId="77777777" w:rsidR="0023267A" w:rsidRPr="0023267A" w:rsidRDefault="0023267A" w:rsidP="0023267A">
            <w:pPr>
              <w:pStyle w:val="RTBodyText"/>
            </w:pPr>
            <w:r w:rsidRPr="0023267A">
              <w:t>In an important precedent, the Court of Appeals of Indiana found that "the legislature did not intend for the feticide statute to apply to illegal abortions or to be used to prosecute women for their own abortions."</w:t>
            </w:r>
            <w:r w:rsidRPr="0023267A">
              <w:rPr>
                <w:vertAlign w:val="superscript"/>
              </w:rPr>
              <w:footnoteReference w:id="31"/>
            </w:r>
            <w:r w:rsidRPr="0023267A">
              <w:t> As a result, Patel's "feticide" conviction was vacated. Feticide laws should not be interpreted in novel ways to prosecute women for their actions in relation to their own pregnancies. Despite concerns about the lack of sufficient evidence, Patel's "felony neglect of a dependent" conviction was not vacated, although the crime was reclassified with a shorter sentence.</w:t>
            </w:r>
            <w:r w:rsidRPr="0023267A">
              <w:rPr>
                <w:vertAlign w:val="superscript"/>
              </w:rPr>
              <w:footnoteReference w:id="32"/>
            </w:r>
          </w:p>
          <w:p w14:paraId="5A1D36D0" w14:textId="77777777" w:rsidR="0023267A" w:rsidRPr="00C06C22" w:rsidRDefault="0023267A" w:rsidP="008F68FF">
            <w:pPr>
              <w:pStyle w:val="RTBodyText"/>
              <w:rPr>
                <w:lang w:val="en-US"/>
              </w:rPr>
            </w:pPr>
          </w:p>
        </w:tc>
      </w:tr>
    </w:tbl>
    <w:p w14:paraId="6C5D1CED" w14:textId="77777777" w:rsidR="004102CC" w:rsidRPr="00EE1623" w:rsidRDefault="004102CC" w:rsidP="00EE1623">
      <w:pPr>
        <w:pStyle w:val="RTNumberedSubheading"/>
      </w:pPr>
      <w:bookmarkStart w:id="7" w:name="_Toc459019939"/>
      <w:bookmarkStart w:id="8" w:name="_Toc472099362"/>
      <w:bookmarkStart w:id="9" w:name="_Toc482741421"/>
      <w:r w:rsidRPr="00EE1623">
        <w:lastRenderedPageBreak/>
        <w:t>Criminal Child Abuse Laws Applied to Fetuses</w:t>
      </w:r>
      <w:bookmarkEnd w:id="7"/>
      <w:bookmarkEnd w:id="8"/>
      <w:bookmarkEnd w:id="9"/>
    </w:p>
    <w:p w14:paraId="4B2BADE7" w14:textId="1FA28ABD" w:rsidR="004102CC" w:rsidRPr="004102CC" w:rsidRDefault="004102CC" w:rsidP="00EE1623">
      <w:pPr>
        <w:pStyle w:val="RTBodyText"/>
      </w:pPr>
      <w:r w:rsidRPr="004102CC">
        <w:t xml:space="preserve">Alabama and South Carolina courts have interpreted child abuse laws to apply to </w:t>
      </w:r>
      <w:proofErr w:type="spellStart"/>
      <w:r w:rsidRPr="004102CC">
        <w:t>fetuses</w:t>
      </w:r>
      <w:proofErr w:type="spellEnd"/>
      <w:r w:rsidRPr="004102CC">
        <w:t xml:space="preserve">. In 1997, the South Carolina Supreme Court decided in </w:t>
      </w:r>
      <w:proofErr w:type="spellStart"/>
      <w:r w:rsidRPr="00EC78E2">
        <w:rPr>
          <w:i/>
        </w:rPr>
        <w:t>Whitner</w:t>
      </w:r>
      <w:proofErr w:type="spellEnd"/>
      <w:r w:rsidRPr="00EC78E2">
        <w:rPr>
          <w:i/>
        </w:rPr>
        <w:t xml:space="preserve"> v South Carolina</w:t>
      </w:r>
      <w:r w:rsidRPr="004102CC">
        <w:t xml:space="preserve"> that a “viable” </w:t>
      </w:r>
      <w:proofErr w:type="spellStart"/>
      <w:r w:rsidRPr="004102CC">
        <w:t>fetus</w:t>
      </w:r>
      <w:proofErr w:type="spellEnd"/>
      <w:r w:rsidRPr="004102CC">
        <w:t xml:space="preserve"> is a “child” within the meaning of the child abuse and endangerment statute.</w:t>
      </w:r>
      <w:r w:rsidRPr="004102CC">
        <w:rPr>
          <w:vertAlign w:val="superscript"/>
        </w:rPr>
        <w:footnoteReference w:id="33"/>
      </w:r>
      <w:r w:rsidRPr="004102CC">
        <w:rPr>
          <w:vertAlign w:val="superscript"/>
        </w:rPr>
        <w:t xml:space="preserve"> </w:t>
      </w:r>
      <w:r w:rsidRPr="004102CC">
        <w:t xml:space="preserve">Since this ruling, prosecutors have relied on this interpretation of the word “child” to charge women for their actions during pregnancy. PhD candidate Grace Howard has documented 108 arrests in South Carolina in which women were charged with unlawful conduct toward a minor, unlawful neglect of a </w:t>
      </w:r>
      <w:proofErr w:type="gramStart"/>
      <w:r w:rsidRPr="004102CC">
        <w:t>minor,</w:t>
      </w:r>
      <w:proofErr w:type="gramEnd"/>
      <w:r w:rsidRPr="004102CC">
        <w:t xml:space="preserve"> or similar charges of child abuse for their actions with regard to their own pregnancies.</w:t>
      </w:r>
      <w:r w:rsidRPr="004102CC">
        <w:rPr>
          <w:vertAlign w:val="superscript"/>
        </w:rPr>
        <w:footnoteReference w:id="34"/>
      </w:r>
    </w:p>
    <w:tbl>
      <w:tblPr>
        <w:tblStyle w:val="TableGrid"/>
        <w:tblW w:w="8307" w:type="dxa"/>
        <w:tblBorders>
          <w:top w:val="none" w:sz="0" w:space="0" w:color="auto"/>
          <w:left w:val="single" w:sz="48" w:space="0" w:color="000000" w:themeColor="text1"/>
          <w:bottom w:val="none" w:sz="0" w:space="0" w:color="auto"/>
          <w:right w:val="none" w:sz="0" w:space="0" w:color="auto"/>
          <w:insideH w:val="none" w:sz="0" w:space="0" w:color="auto"/>
          <w:insideV w:val="none" w:sz="0" w:space="0" w:color="auto"/>
        </w:tblBorders>
        <w:tblLayout w:type="fixed"/>
        <w:tblCellMar>
          <w:top w:w="113" w:type="dxa"/>
          <w:left w:w="227" w:type="dxa"/>
          <w:right w:w="0" w:type="dxa"/>
        </w:tblCellMar>
        <w:tblLook w:val="04A0" w:firstRow="1" w:lastRow="0" w:firstColumn="1" w:lastColumn="0" w:noHBand="0" w:noVBand="1"/>
      </w:tblPr>
      <w:tblGrid>
        <w:gridCol w:w="8307"/>
      </w:tblGrid>
      <w:tr w:rsidR="00EE1623" w:rsidRPr="00EE1623" w14:paraId="5DF375B3" w14:textId="77777777" w:rsidTr="008F68FF">
        <w:trPr>
          <w:trHeight w:val="383"/>
        </w:trPr>
        <w:tc>
          <w:tcPr>
            <w:tcW w:w="8307" w:type="dxa"/>
          </w:tcPr>
          <w:p w14:paraId="65BB4FDB" w14:textId="77777777" w:rsidR="00EE1623" w:rsidRPr="00EE1623" w:rsidRDefault="004102CC" w:rsidP="00EE1623">
            <w:pPr>
              <w:pStyle w:val="RTQuoteText"/>
            </w:pPr>
            <w:r w:rsidRPr="00EE1623">
              <w:t xml:space="preserve">“Since 1996, every third trimester </w:t>
            </w:r>
            <w:proofErr w:type="spellStart"/>
            <w:r w:rsidRPr="00EE1623">
              <w:t>fetus</w:t>
            </w:r>
            <w:proofErr w:type="spellEnd"/>
            <w:r w:rsidRPr="00EE1623">
              <w:t xml:space="preserve"> has been considered a child for child protection and criminal law. For a pregnant woman, everything she might do that might potentially be seen as dangerous might set her up for arrest. Every pregnant woman is a walking disaster.”</w:t>
            </w:r>
            <w:r w:rsidRPr="00EE1623">
              <w:rPr>
                <w:i/>
                <w:vertAlign w:val="superscript"/>
              </w:rPr>
              <w:footnoteReference w:id="35"/>
            </w:r>
          </w:p>
        </w:tc>
      </w:tr>
      <w:tr w:rsidR="00EE1623" w:rsidRPr="00EE1623" w14:paraId="2A3F9CF5" w14:textId="77777777" w:rsidTr="008F68FF">
        <w:trPr>
          <w:trHeight w:val="367"/>
        </w:trPr>
        <w:tc>
          <w:tcPr>
            <w:tcW w:w="8307" w:type="dxa"/>
          </w:tcPr>
          <w:p w14:paraId="5FF73881" w14:textId="77777777" w:rsidR="00EE1623" w:rsidRPr="00EE1623" w:rsidRDefault="00EE1623" w:rsidP="00EE1623">
            <w:pPr>
              <w:pStyle w:val="RTSourceText"/>
              <w:rPr>
                <w:rFonts w:asciiTheme="majorHAnsi" w:hAnsiTheme="majorHAnsi"/>
                <w:b/>
                <w:sz w:val="36"/>
              </w:rPr>
            </w:pPr>
            <w:r w:rsidRPr="00EE1623">
              <w:t>Susan Dunn, Attorney, South Carolina</w:t>
            </w:r>
          </w:p>
        </w:tc>
      </w:tr>
    </w:tbl>
    <w:p w14:paraId="657532A7" w14:textId="77777777" w:rsidR="00EE1623" w:rsidRPr="00EE1623" w:rsidRDefault="00EE1623" w:rsidP="00EE1623">
      <w:pPr>
        <w:pStyle w:val="RTNumberedSubheading"/>
      </w:pPr>
      <w:bookmarkStart w:id="10" w:name="_Toc318639753"/>
      <w:bookmarkStart w:id="11" w:name="_Toc459019940"/>
      <w:bookmarkStart w:id="12" w:name="_Toc472099363"/>
      <w:bookmarkStart w:id="13" w:name="_Toc482741422"/>
      <w:r w:rsidRPr="00EE1623">
        <w:t>Substance use During Pregnancy As Child Abuse</w:t>
      </w:r>
      <w:bookmarkEnd w:id="10"/>
      <w:bookmarkEnd w:id="11"/>
      <w:bookmarkEnd w:id="12"/>
      <w:bookmarkEnd w:id="13"/>
    </w:p>
    <w:p w14:paraId="5C250DBA" w14:textId="7439B382" w:rsidR="00EE1623" w:rsidRDefault="00C61A67" w:rsidP="00EE1623">
      <w:pPr>
        <w:pStyle w:val="RTBodyText"/>
      </w:pPr>
      <w:r w:rsidRPr="00EE1623">
        <w:t xml:space="preserve">Eighteen states consider </w:t>
      </w:r>
      <w:r>
        <w:t>s</w:t>
      </w:r>
      <w:r w:rsidR="00EE1623" w:rsidRPr="00EE1623">
        <w:t>ubstance use during pregnancy a form of child abuse under civil child welfare laws.</w:t>
      </w:r>
      <w:r w:rsidR="00EE1623" w:rsidRPr="00EE1623">
        <w:rPr>
          <w:vertAlign w:val="superscript"/>
        </w:rPr>
        <w:footnoteReference w:id="36"/>
      </w:r>
      <w:r w:rsidR="00EE1623" w:rsidRPr="00EE1623">
        <w:t xml:space="preserve"> </w:t>
      </w:r>
      <w:r>
        <w:t>S</w:t>
      </w:r>
      <w:r w:rsidR="00EE1623" w:rsidRPr="00EE1623">
        <w:t xml:space="preserve">ubstance use during pregnancy can in some cases result in investigation or loss of custody of the child after birth. </w:t>
      </w:r>
      <w:r>
        <w:t>I</w:t>
      </w:r>
      <w:r w:rsidR="00EE1623" w:rsidRPr="00EE1623">
        <w:t>n 2014, Wisconsin Child Protective Services investigated 387 allegations of “unborn child abuse,” and removed 19 children from their homes after birth.</w:t>
      </w:r>
      <w:r w:rsidR="00EE1623" w:rsidRPr="00EE1623">
        <w:rPr>
          <w:vertAlign w:val="superscript"/>
        </w:rPr>
        <w:footnoteReference w:id="37"/>
      </w:r>
      <w:r w:rsidR="00EE1623" w:rsidRPr="00EE1623">
        <w:t xml:space="preserve"> These laws operate based on the faulty assumption that a single positive drug test alone may signal “abuse” or “harm.”</w:t>
      </w:r>
    </w:p>
    <w:tbl>
      <w:tblPr>
        <w:tblStyle w:val="RTTintedPullout"/>
        <w:tblW w:w="8278" w:type="dxa"/>
        <w:tblLook w:val="04A0" w:firstRow="1" w:lastRow="0" w:firstColumn="1" w:lastColumn="0" w:noHBand="0" w:noVBand="1"/>
      </w:tblPr>
      <w:tblGrid>
        <w:gridCol w:w="8278"/>
      </w:tblGrid>
      <w:tr w:rsidR="00F55724" w14:paraId="0970B1F2" w14:textId="77777777" w:rsidTr="00B92A6C">
        <w:trPr>
          <w:trHeight w:val="614"/>
        </w:trPr>
        <w:tc>
          <w:tcPr>
            <w:tcW w:w="8272" w:type="dxa"/>
          </w:tcPr>
          <w:p w14:paraId="109AF9BD" w14:textId="77777777" w:rsidR="00D04949" w:rsidRPr="002E4582" w:rsidRDefault="00D04949" w:rsidP="00D04949">
            <w:pPr>
              <w:pStyle w:val="RTSmallheadingCAPS"/>
              <w:rPr>
                <w:rFonts w:asciiTheme="minorHAnsi" w:hAnsiTheme="minorHAnsi"/>
                <w:sz w:val="18"/>
                <w:szCs w:val="24"/>
              </w:rPr>
            </w:pPr>
            <w:r>
              <w:lastRenderedPageBreak/>
              <w:t>The Federal child abuse prevention and treatment act</w:t>
            </w:r>
          </w:p>
          <w:p w14:paraId="23958ECC" w14:textId="77777777" w:rsidR="00D04949" w:rsidRPr="002E4582" w:rsidRDefault="00D04949" w:rsidP="00D04949">
            <w:pPr>
              <w:pStyle w:val="RTBodyText"/>
            </w:pPr>
            <w:r w:rsidRPr="002E4582">
              <w:t xml:space="preserve">The Federal Child Abuse Prevention and Treatment Act (CAPTA) requires states that accept federal grant funding to have policies and procedures to notify child protective services agencies of “infants born with and identified as being affected by illegal substance abuse or withdrawal symptoms resulting from prenatal drug exposure, or a </w:t>
            </w:r>
            <w:proofErr w:type="spellStart"/>
            <w:r w:rsidRPr="002E4582">
              <w:t>Fetal</w:t>
            </w:r>
            <w:proofErr w:type="spellEnd"/>
            <w:r w:rsidRPr="002E4582">
              <w:t xml:space="preserve"> Alcohol Spectrum Disorder.”</w:t>
            </w:r>
            <w:r w:rsidRPr="002E4582">
              <w:rPr>
                <w:vertAlign w:val="superscript"/>
              </w:rPr>
              <w:footnoteReference w:id="38"/>
            </w:r>
            <w:r w:rsidRPr="002E4582">
              <w:t xml:space="preserve"> Though reporting cases of child abuse or neglect to child protective services (CPS) is required, it is up to each state to define what constitutes a “substance-affected infant,” to decide if the infant was in fact “affected“ by an illegal substance and if this qualifies as child abuse.</w:t>
            </w:r>
            <w:r w:rsidRPr="002E4582">
              <w:rPr>
                <w:vertAlign w:val="superscript"/>
              </w:rPr>
              <w:footnoteReference w:id="39"/>
            </w:r>
            <w:r w:rsidRPr="002E4582">
              <w:rPr>
                <w:vertAlign w:val="superscript"/>
              </w:rPr>
              <w:t xml:space="preserve">  </w:t>
            </w:r>
            <w:r w:rsidRPr="002E4582">
              <w:t>Most states do not have specific reporting procedures and not all states include drug exposure in their definitions of child abuse and neglect. A total of 18 states have laws defining drug exposure during pregnancy as presumptive evidence of child abuse.</w:t>
            </w:r>
            <w:r w:rsidRPr="002E4582">
              <w:rPr>
                <w:vertAlign w:val="superscript"/>
              </w:rPr>
              <w:footnoteReference w:id="40"/>
            </w:r>
            <w:r w:rsidRPr="002E4582">
              <w:t xml:space="preserve"> Some localities have chosen to pursue certain conduct more aggressively than others, for example, deciding to remove children solely based on marijuana use, while others do not pursue or ignore these cases altogether.</w:t>
            </w:r>
            <w:r w:rsidRPr="002E4582">
              <w:rPr>
                <w:vertAlign w:val="superscript"/>
              </w:rPr>
              <w:footnoteReference w:id="41"/>
            </w:r>
            <w:r w:rsidRPr="002E4582">
              <w:t xml:space="preserve"> In most states, a CPS worker may use a single positive drug test to make a claim of abuse even without an assessment of the family’s ability to care for a child.</w:t>
            </w:r>
            <w:r w:rsidRPr="002E4582">
              <w:rPr>
                <w:vertAlign w:val="superscript"/>
              </w:rPr>
              <w:footnoteReference w:id="42"/>
            </w:r>
            <w:r w:rsidRPr="002E4582">
              <w:t xml:space="preserve"> Even in states without such laws defining drug exposure during pregnancy as child abuse, CPS can monitor pregnant women and intervene as soon as a </w:t>
            </w:r>
            <w:r>
              <w:t>child</w:t>
            </w:r>
            <w:r w:rsidRPr="002E4582">
              <w:t xml:space="preserve"> is born.</w:t>
            </w:r>
            <w:r w:rsidRPr="002E4582">
              <w:rPr>
                <w:vertAlign w:val="superscript"/>
              </w:rPr>
              <w:footnoteReference w:id="43"/>
            </w:r>
            <w:r w:rsidRPr="002E4582">
              <w:rPr>
                <w:vertAlign w:val="superscript"/>
              </w:rPr>
              <w:t xml:space="preserve"> </w:t>
            </w:r>
          </w:p>
          <w:p w14:paraId="3B93ED58" w14:textId="77777777" w:rsidR="00D04949" w:rsidRDefault="00D04949" w:rsidP="00D04949">
            <w:pPr>
              <w:pStyle w:val="RTSmallheadingCAPS"/>
            </w:pPr>
            <w:r w:rsidRPr="002E4582">
              <w:t xml:space="preserve">Drug Testing </w:t>
            </w:r>
          </w:p>
          <w:p w14:paraId="4116FC49" w14:textId="2B164D1C" w:rsidR="00D04949" w:rsidRPr="002E4582" w:rsidRDefault="00D04949" w:rsidP="00D04949">
            <w:pPr>
              <w:pStyle w:val="RTBodyText"/>
            </w:pPr>
            <w:r w:rsidRPr="002E4582">
              <w:t>There are no uniform regulations protecting women’s rights in relation to drug testing during pregnancy or at birth. States and each individual hospital and physician may choose to test patients at their own discretion.</w:t>
            </w:r>
            <w:r w:rsidRPr="002E4582">
              <w:rPr>
                <w:vertAlign w:val="superscript"/>
              </w:rPr>
              <w:footnoteReference w:id="44"/>
            </w:r>
            <w:r w:rsidRPr="002E4582">
              <w:t xml:space="preserve"> If a healthcare worker test</w:t>
            </w:r>
            <w:r>
              <w:t>s</w:t>
            </w:r>
            <w:r w:rsidRPr="002E4582">
              <w:t xml:space="preserve"> a pregnant woman and find</w:t>
            </w:r>
            <w:r>
              <w:t>s</w:t>
            </w:r>
            <w:r w:rsidRPr="002E4582">
              <w:t xml:space="preserve"> a positive drug test, this would be reportable to Child Protective Services (CPS) in 18 states.</w:t>
            </w:r>
            <w:r w:rsidRPr="002E4582">
              <w:rPr>
                <w:vertAlign w:val="superscript"/>
              </w:rPr>
              <w:footnoteReference w:id="45"/>
            </w:r>
            <w:r w:rsidRPr="002E4582">
              <w:rPr>
                <w:vertAlign w:val="superscript"/>
              </w:rPr>
              <w:t xml:space="preserve"> </w:t>
            </w:r>
            <w:r w:rsidRPr="002E4582">
              <w:t xml:space="preserve"> However, testing on suspicion is only a requirement in</w:t>
            </w:r>
            <w:r>
              <w:t xml:space="preserve"> four </w:t>
            </w:r>
            <w:r w:rsidRPr="002E4582">
              <w:t>states.</w:t>
            </w:r>
            <w:r w:rsidRPr="002E4582">
              <w:rPr>
                <w:vertAlign w:val="superscript"/>
              </w:rPr>
              <w:footnoteReference w:id="46"/>
            </w:r>
            <w:r w:rsidRPr="002E4582">
              <w:rPr>
                <w:vertAlign w:val="superscript"/>
              </w:rPr>
              <w:t xml:space="preserve"> </w:t>
            </w:r>
            <w:r w:rsidRPr="002E4582">
              <w:t>Hospitals may profile certain women for drug testing based on their medical history or on a notification from CPS. Testing is frequently conducted without consent and may result in false positive or negative results which can have a devastating impact on the patient if they result in accusations of child abuse and neglect.</w:t>
            </w:r>
            <w:r w:rsidRPr="002E4582">
              <w:rPr>
                <w:vertAlign w:val="superscript"/>
              </w:rPr>
              <w:footnoteReference w:id="47"/>
            </w:r>
          </w:p>
          <w:p w14:paraId="0F2097E6" w14:textId="77777777" w:rsidR="00D04949" w:rsidRPr="002E4582" w:rsidRDefault="00D04949" w:rsidP="00D04949">
            <w:pPr>
              <w:pStyle w:val="RTSmallheadingCAPS"/>
            </w:pPr>
            <w:r w:rsidRPr="002E4582">
              <w:t xml:space="preserve">Mandated Reporting </w:t>
            </w:r>
          </w:p>
          <w:p w14:paraId="6C30065B" w14:textId="7FAB3BF5" w:rsidR="00F55724" w:rsidRDefault="00D04949" w:rsidP="00D04949">
            <w:pPr>
              <w:pStyle w:val="RTBodyText"/>
            </w:pPr>
            <w:r w:rsidRPr="002E4582">
              <w:t>Physicians, social workers and nurses are “mandated reporters,” meaning that if they suspect child abuse or neglect they must report it to the state CPS.</w:t>
            </w:r>
            <w:r w:rsidRPr="00923CDD">
              <w:rPr>
                <w:vertAlign w:val="superscript"/>
              </w:rPr>
              <w:footnoteReference w:id="48"/>
            </w:r>
            <w:r w:rsidRPr="002E4582">
              <w:t xml:space="preserve"> However, they do not necessarily need to characterize a positive drug test as evidence of child abuse. The complicated nature of these laws and lack of legal clarity make it easy to mischaracterize the “mandated reporting” function to mean that healthcare providers must test pregnant wom</w:t>
            </w:r>
            <w:r w:rsidR="00DC4DCA">
              <w:t>e</w:t>
            </w:r>
            <w:r w:rsidRPr="002E4582">
              <w:t xml:space="preserve">n and </w:t>
            </w:r>
            <w:proofErr w:type="spellStart"/>
            <w:r w:rsidRPr="002E4582">
              <w:t>newborns</w:t>
            </w:r>
            <w:proofErr w:type="spellEnd"/>
            <w:r w:rsidRPr="002E4582">
              <w:t xml:space="preserve"> and that a positive drug test must be considered abuse. A child welfare advocate explained to Amnesty </w:t>
            </w:r>
            <w:r>
              <w:t>I</w:t>
            </w:r>
            <w:r w:rsidRPr="002E4582">
              <w:t>nternational that immunity statutes in each state protect reporters from liability that could result from reporting but not for failing to report, a policy that can incentivize over-reporting.</w:t>
            </w:r>
            <w:r w:rsidRPr="002E4582">
              <w:rPr>
                <w:vertAlign w:val="superscript"/>
              </w:rPr>
              <w:footnoteReference w:id="49"/>
            </w:r>
          </w:p>
        </w:tc>
      </w:tr>
    </w:tbl>
    <w:p w14:paraId="092683F8" w14:textId="77777777" w:rsidR="002E4582" w:rsidRPr="00EE1623" w:rsidRDefault="002E4582" w:rsidP="00EE1623">
      <w:pPr>
        <w:pStyle w:val="RTBodyText"/>
      </w:pPr>
    </w:p>
    <w:p w14:paraId="25A180DC" w14:textId="77777777" w:rsidR="00EE1623" w:rsidRPr="00EE1623" w:rsidRDefault="00EE1623" w:rsidP="00EE1623">
      <w:pPr>
        <w:pStyle w:val="RTNumberedSubheading"/>
      </w:pPr>
      <w:bookmarkStart w:id="14" w:name="_Toc482741423"/>
      <w:r w:rsidRPr="00EE1623">
        <w:lastRenderedPageBreak/>
        <w:t>Civil Commitment Laws</w:t>
      </w:r>
      <w:bookmarkEnd w:id="14"/>
    </w:p>
    <w:p w14:paraId="3FD94180" w14:textId="77777777" w:rsidR="00EE1623" w:rsidRPr="00EE1623" w:rsidRDefault="00EE1623" w:rsidP="00EE1623">
      <w:pPr>
        <w:pStyle w:val="RTBodyText"/>
      </w:pPr>
      <w:r w:rsidRPr="00EE1623">
        <w:t>Wisconsin, Minnesota, Oklahoma, North Dakota and South Dakota have civil child protection or public health and safety laws in place that specifically allow the state to detain pregnant women.</w:t>
      </w:r>
      <w:r w:rsidRPr="00EE1623">
        <w:rPr>
          <w:vertAlign w:val="superscript"/>
        </w:rPr>
        <w:footnoteReference w:id="50"/>
      </w:r>
      <w:r w:rsidRPr="00EE1623">
        <w:t xml:space="preserve"> The Wisconsin law allows the court to claim “jurisdiction over an unborn child” if a pregnant woman “lacks self-control in the use of alcohol beverages” or controlled substances.”</w:t>
      </w:r>
      <w:r w:rsidRPr="00EE1623">
        <w:rPr>
          <w:vertAlign w:val="superscript"/>
        </w:rPr>
        <w:footnoteReference w:id="51"/>
      </w:r>
      <w:r w:rsidRPr="00EE1623">
        <w:t xml:space="preserve"> </w:t>
      </w:r>
    </w:p>
    <w:p w14:paraId="0CB2B394" w14:textId="39B14895" w:rsidR="00EE1623" w:rsidRPr="00EE1623" w:rsidRDefault="00EE1623" w:rsidP="00EE1623">
      <w:pPr>
        <w:pStyle w:val="RTBodyText"/>
      </w:pPr>
      <w:r w:rsidRPr="00EE1623">
        <w:t>After a visit to the USA</w:t>
      </w:r>
      <w:r w:rsidR="00D04949">
        <w:t xml:space="preserve"> in 2016</w:t>
      </w:r>
      <w:r w:rsidRPr="00EE1623">
        <w:t>, the UN Working Group on Arbitrary Detention commented on the these civil laws, finding, “[t}his form of deprivation of liberty is obviously gendered and discriminatory in its reach and application as pregnancy</w:t>
      </w:r>
      <w:r w:rsidR="00D04949">
        <w:t xml:space="preserve"> –</w:t>
      </w:r>
      <w:r w:rsidRPr="00EE1623">
        <w:t xml:space="preserve"> combined with the presumption of drug or substance abuse</w:t>
      </w:r>
      <w:r w:rsidR="00D04949">
        <w:t xml:space="preserve"> –</w:t>
      </w:r>
      <w:r w:rsidRPr="00EE1623">
        <w:t xml:space="preserve"> is the determining factor for involuntary treatment.”</w:t>
      </w:r>
      <w:r w:rsidRPr="00EE1623">
        <w:rPr>
          <w:vertAlign w:val="superscript"/>
        </w:rPr>
        <w:footnoteReference w:id="52"/>
      </w:r>
    </w:p>
    <w:p w14:paraId="3E9FF3B5" w14:textId="613A4063" w:rsidR="00EE1623" w:rsidRDefault="00D04949" w:rsidP="00EE1623">
      <w:pPr>
        <w:pStyle w:val="RTBodyText"/>
      </w:pPr>
      <w:r>
        <w:t>I</w:t>
      </w:r>
      <w:r w:rsidR="00EE1623" w:rsidRPr="00EE1623">
        <w:t xml:space="preserve">n July 2013, Alicia Beltran, a 28-year-old </w:t>
      </w:r>
      <w:r>
        <w:t xml:space="preserve">woman from </w:t>
      </w:r>
      <w:r w:rsidR="00EE1623" w:rsidRPr="00EE1623">
        <w:t>Wisconsin</w:t>
      </w:r>
      <w:r w:rsidR="00EE1623" w:rsidRPr="00EE1623">
        <w:rPr>
          <w:vertAlign w:val="superscript"/>
        </w:rPr>
        <w:footnoteReference w:id="53"/>
      </w:r>
      <w:r w:rsidR="00EE1623" w:rsidRPr="00EE1623">
        <w:t xml:space="preserve"> confided in her doctor that she had struggled with an addiction to prescription painkillers the previous year but had weaned herself from their use with the help of </w:t>
      </w:r>
      <w:proofErr w:type="spellStart"/>
      <w:r w:rsidR="00EE1623" w:rsidRPr="00EE1623">
        <w:t>Suboxone</w:t>
      </w:r>
      <w:proofErr w:type="spellEnd"/>
      <w:r w:rsidR="00EE1623" w:rsidRPr="00EE1623">
        <w:t xml:space="preserve">, a prescription drug therapy designed for this purpose. Despite the fact that </w:t>
      </w:r>
      <w:r>
        <w:t xml:space="preserve">Alicia </w:t>
      </w:r>
      <w:r w:rsidR="00EE1623" w:rsidRPr="00EE1623">
        <w:t xml:space="preserve">Beltran was not using drugs, which was confirmed by a </w:t>
      </w:r>
      <w:r w:rsidR="00211DB0">
        <w:t xml:space="preserve">drug </w:t>
      </w:r>
      <w:r w:rsidR="00EE1623" w:rsidRPr="00EE1623">
        <w:t xml:space="preserve">test, </w:t>
      </w:r>
      <w:r w:rsidR="00CF7C14">
        <w:t>healthcare</w:t>
      </w:r>
      <w:r w:rsidR="00EE1623" w:rsidRPr="00EE1623">
        <w:t xml:space="preserve"> providers reported her to the Department of Human Services</w:t>
      </w:r>
      <w:r w:rsidR="00211DB0">
        <w:t>. As</w:t>
      </w:r>
      <w:r w:rsidR="00EE1623" w:rsidRPr="00EE1623">
        <w:t xml:space="preserve"> a result she was taken from her home</w:t>
      </w:r>
      <w:r>
        <w:t xml:space="preserve"> and </w:t>
      </w:r>
      <w:r w:rsidR="00EE1623" w:rsidRPr="00EE1623">
        <w:t xml:space="preserve">presented in shackles before a court. While Alicia Beltran was denied a lawyer, a legal guardian was appointed to represent her </w:t>
      </w:r>
      <w:proofErr w:type="spellStart"/>
      <w:r w:rsidR="00EE1623" w:rsidRPr="00EE1623">
        <w:t>fetus</w:t>
      </w:r>
      <w:proofErr w:type="spellEnd"/>
      <w:r w:rsidR="00EE1623" w:rsidRPr="00EE1623">
        <w:t>. Beltran was forced into an inpatient drug treatment program for 90 days against her will</w:t>
      </w:r>
      <w:r w:rsidR="00923CDD">
        <w:t xml:space="preserve"> and</w:t>
      </w:r>
      <w:r w:rsidR="00211DB0">
        <w:t xml:space="preserve"> </w:t>
      </w:r>
      <w:r w:rsidR="00EE1623" w:rsidRPr="00EE1623">
        <w:t xml:space="preserve">lost her job as a result. </w:t>
      </w:r>
    </w:p>
    <w:p w14:paraId="332F2513" w14:textId="198D27F3" w:rsidR="008E0833" w:rsidRDefault="005973BC" w:rsidP="00EE1623">
      <w:pPr>
        <w:pStyle w:val="RTBodyText"/>
      </w:pPr>
      <w:r>
        <w:t>In April</w:t>
      </w:r>
      <w:r w:rsidR="00270DD6" w:rsidRPr="00270DD6">
        <w:t xml:space="preserve"> 2017, a federal court in Wisconsin struck </w:t>
      </w:r>
      <w:r>
        <w:rPr>
          <w:szCs w:val="18"/>
        </w:rPr>
        <w:t>down this</w:t>
      </w:r>
      <w:r w:rsidR="00270DD6" w:rsidRPr="00270DD6">
        <w:rPr>
          <w:szCs w:val="18"/>
        </w:rPr>
        <w:t xml:space="preserve"> law</w:t>
      </w:r>
      <w:r>
        <w:rPr>
          <w:szCs w:val="18"/>
        </w:rPr>
        <w:t>.</w:t>
      </w:r>
      <w:r w:rsidR="00270DD6" w:rsidRPr="00270DD6">
        <w:rPr>
          <w:color w:val="000000"/>
          <w:szCs w:val="18"/>
          <w:lang w:val="en-US"/>
        </w:rPr>
        <w:t xml:space="preserve"> </w:t>
      </w:r>
      <w:r>
        <w:rPr>
          <w:color w:val="000000"/>
          <w:szCs w:val="18"/>
          <w:lang w:val="en-US"/>
        </w:rPr>
        <w:t xml:space="preserve">Represented by </w:t>
      </w:r>
      <w:r w:rsidR="00270DD6" w:rsidRPr="00270DD6">
        <w:rPr>
          <w:lang w:val="en-US"/>
        </w:rPr>
        <w:t>National Advocates for Pregnant Women (NAPW), the NYU School of Law Reproductive Jus</w:t>
      </w:r>
      <w:r w:rsidR="00D26840">
        <w:rPr>
          <w:lang w:val="en-US"/>
        </w:rPr>
        <w:t>tice Clinic, and the Perkins Col</w:t>
      </w:r>
      <w:r w:rsidR="00270DD6" w:rsidRPr="00270DD6">
        <w:rPr>
          <w:lang w:val="en-US"/>
        </w:rPr>
        <w:t>e law firm</w:t>
      </w:r>
      <w:r>
        <w:rPr>
          <w:lang w:val="en-US"/>
        </w:rPr>
        <w:t xml:space="preserve">, Tamara </w:t>
      </w:r>
      <w:proofErr w:type="spellStart"/>
      <w:r>
        <w:rPr>
          <w:lang w:val="en-US"/>
        </w:rPr>
        <w:t>Loertscher</w:t>
      </w:r>
      <w:proofErr w:type="spellEnd"/>
      <w:r>
        <w:rPr>
          <w:lang w:val="en-US"/>
        </w:rPr>
        <w:t xml:space="preserve"> sued the State of Wisconsin and Taylor County</w:t>
      </w:r>
      <w:r w:rsidR="00270DD6">
        <w:t>.</w:t>
      </w:r>
      <w:r w:rsidR="00270DD6">
        <w:rPr>
          <w:rStyle w:val="FootnoteReference"/>
        </w:rPr>
        <w:footnoteReference w:id="54"/>
      </w:r>
      <w:r w:rsidR="00270DD6" w:rsidRPr="00270DD6">
        <w:t xml:space="preserve"> </w:t>
      </w:r>
      <w:r>
        <w:t xml:space="preserve">After seeking healthcare and </w:t>
      </w:r>
      <w:r w:rsidR="00A444DE">
        <w:t>testing positive for</w:t>
      </w:r>
      <w:r>
        <w:t xml:space="preserve"> past drug use, </w:t>
      </w:r>
      <w:proofErr w:type="spellStart"/>
      <w:r>
        <w:t>Loertscher</w:t>
      </w:r>
      <w:proofErr w:type="spellEnd"/>
      <w:r>
        <w:t xml:space="preserve"> was reported for “unborn child abuse</w:t>
      </w:r>
      <w:r w:rsidR="00A444DE">
        <w:t>,</w:t>
      </w:r>
      <w:r>
        <w:t>” detained</w:t>
      </w:r>
      <w:r w:rsidR="00A444DE">
        <w:t xml:space="preserve"> and incarcerated</w:t>
      </w:r>
      <w:r>
        <w:t>.</w:t>
      </w:r>
      <w:r w:rsidR="00A444DE">
        <w:rPr>
          <w:rStyle w:val="FootnoteReference"/>
        </w:rPr>
        <w:footnoteReference w:id="55"/>
      </w:r>
      <w:r>
        <w:t xml:space="preserve"> </w:t>
      </w:r>
    </w:p>
    <w:p w14:paraId="067D6BCD" w14:textId="3BABD09E" w:rsidR="008E0833" w:rsidRPr="00757E9F" w:rsidRDefault="00270DD6" w:rsidP="00EE1623">
      <w:pPr>
        <w:pStyle w:val="RTBodyText"/>
        <w:rPr>
          <w:color w:val="000000"/>
          <w:szCs w:val="18"/>
          <w:shd w:val="clear" w:color="auto" w:fill="FFFFFF"/>
          <w:lang w:val="en-US"/>
        </w:rPr>
      </w:pPr>
      <w:r>
        <w:rPr>
          <w:color w:val="000000"/>
          <w:szCs w:val="18"/>
          <w:shd w:val="clear" w:color="auto" w:fill="FFFFFF"/>
        </w:rPr>
        <w:t>T</w:t>
      </w:r>
      <w:r w:rsidRPr="00270DD6">
        <w:rPr>
          <w:color w:val="000000"/>
          <w:szCs w:val="18"/>
          <w:shd w:val="clear" w:color="auto" w:fill="FFFFFF"/>
        </w:rPr>
        <w:t xml:space="preserve">he </w:t>
      </w:r>
      <w:r>
        <w:rPr>
          <w:color w:val="000000"/>
          <w:szCs w:val="18"/>
          <w:shd w:val="clear" w:color="auto" w:fill="FFFFFF"/>
        </w:rPr>
        <w:t>c</w:t>
      </w:r>
      <w:r w:rsidR="005973BC">
        <w:rPr>
          <w:color w:val="000000"/>
          <w:szCs w:val="18"/>
          <w:shd w:val="clear" w:color="auto" w:fill="FFFFFF"/>
        </w:rPr>
        <w:t>ourt concluded that the law</w:t>
      </w:r>
      <w:r w:rsidRPr="00270DD6">
        <w:rPr>
          <w:color w:val="000000"/>
          <w:szCs w:val="18"/>
          <w:shd w:val="clear" w:color="auto" w:fill="FFFFFF"/>
        </w:rPr>
        <w:t xml:space="preserve"> is vague in violation of the U.S. Constitution's guarantee of </w:t>
      </w:r>
      <w:r w:rsidRPr="00270DD6">
        <w:rPr>
          <w:color w:val="000000"/>
          <w:szCs w:val="18"/>
          <w:shd w:val="clear" w:color="auto" w:fill="FFFFFF"/>
          <w:lang w:val="en-US"/>
        </w:rPr>
        <w:t>due process of law, explaining it "affords neither fair warning as to the conduct it prohibits nor reasonably precise standard for its enforcement."</w:t>
      </w:r>
      <w:r>
        <w:rPr>
          <w:rStyle w:val="FootnoteReference"/>
          <w:color w:val="000000"/>
          <w:szCs w:val="18"/>
          <w:shd w:val="clear" w:color="auto" w:fill="FFFFFF"/>
          <w:lang w:val="en-US"/>
        </w:rPr>
        <w:footnoteReference w:id="56"/>
      </w:r>
      <w:r>
        <w:rPr>
          <w:color w:val="000000"/>
          <w:szCs w:val="18"/>
          <w:shd w:val="clear" w:color="auto" w:fill="FFFFFF"/>
          <w:lang w:val="en-US"/>
        </w:rPr>
        <w:t xml:space="preserve"> </w:t>
      </w:r>
    </w:p>
    <w:tbl>
      <w:tblPr>
        <w:tblStyle w:val="TableGrid"/>
        <w:tblW w:w="8467" w:type="dxa"/>
        <w:tblBorders>
          <w:top w:val="none" w:sz="0" w:space="0" w:color="auto"/>
          <w:left w:val="single" w:sz="48" w:space="0" w:color="000000" w:themeColor="text1"/>
          <w:bottom w:val="none" w:sz="0" w:space="0" w:color="auto"/>
          <w:right w:val="none" w:sz="0" w:space="0" w:color="auto"/>
          <w:insideH w:val="none" w:sz="0" w:space="0" w:color="auto"/>
          <w:insideV w:val="none" w:sz="0" w:space="0" w:color="auto"/>
        </w:tblBorders>
        <w:tblLayout w:type="fixed"/>
        <w:tblCellMar>
          <w:top w:w="113" w:type="dxa"/>
          <w:left w:w="227" w:type="dxa"/>
          <w:right w:w="0" w:type="dxa"/>
        </w:tblCellMar>
        <w:tblLook w:val="04A0" w:firstRow="1" w:lastRow="0" w:firstColumn="1" w:lastColumn="0" w:noHBand="0" w:noVBand="1"/>
      </w:tblPr>
      <w:tblGrid>
        <w:gridCol w:w="8467"/>
      </w:tblGrid>
      <w:tr w:rsidR="00EE1623" w:rsidRPr="00EE1623" w14:paraId="742EF4D2" w14:textId="77777777" w:rsidTr="00D854A5">
        <w:trPr>
          <w:trHeight w:val="552"/>
        </w:trPr>
        <w:tc>
          <w:tcPr>
            <w:tcW w:w="8467" w:type="dxa"/>
          </w:tcPr>
          <w:p w14:paraId="19553069" w14:textId="77777777" w:rsidR="00EE1623" w:rsidRPr="00EE1623" w:rsidRDefault="00EE1623" w:rsidP="008F68FF">
            <w:pPr>
              <w:pStyle w:val="RTQuoteText"/>
            </w:pPr>
            <w:r w:rsidRPr="00EE1623">
              <w:t xml:space="preserve">“The Wisconsin law takes away from a pregnant woman virtually every right associated with constitutional personhood, from the most basic right to physical liberty to the right to refuse bad medical advice… this kind of dangerous, authoritarian state-action, is exactly what happens when laws give police officers and other state actors the authority to treat fertilized eggs, embryos, and </w:t>
            </w:r>
            <w:proofErr w:type="spellStart"/>
            <w:r w:rsidRPr="00EE1623">
              <w:t>fetuses</w:t>
            </w:r>
            <w:proofErr w:type="spellEnd"/>
            <w:r w:rsidRPr="00EE1623">
              <w:t xml:space="preserve"> as if they are already completely separate from the pregnant woman.”</w:t>
            </w:r>
            <w:r w:rsidRPr="00EE1623">
              <w:rPr>
                <w:vertAlign w:val="superscript"/>
              </w:rPr>
              <w:footnoteReference w:id="57"/>
            </w:r>
          </w:p>
        </w:tc>
      </w:tr>
      <w:tr w:rsidR="00EE1623" w:rsidRPr="00EE1623" w14:paraId="043292DA" w14:textId="77777777" w:rsidTr="00D854A5">
        <w:trPr>
          <w:trHeight w:val="529"/>
        </w:trPr>
        <w:tc>
          <w:tcPr>
            <w:tcW w:w="8467" w:type="dxa"/>
          </w:tcPr>
          <w:p w14:paraId="487323D6" w14:textId="77777777" w:rsidR="00EE1623" w:rsidRPr="00EE1623" w:rsidRDefault="00EE1623" w:rsidP="008F68FF">
            <w:pPr>
              <w:pStyle w:val="RTSourceText"/>
            </w:pPr>
            <w:r w:rsidRPr="00EE1623">
              <w:lastRenderedPageBreak/>
              <w:t>Lynn Paltrow, Executive Director of National Advocates for Pregnant Women</w:t>
            </w:r>
          </w:p>
        </w:tc>
      </w:tr>
    </w:tbl>
    <w:p w14:paraId="23385AF6" w14:textId="77777777" w:rsidR="002F1FAB" w:rsidRDefault="002F1FAB" w:rsidP="002F1FAB">
      <w:pPr>
        <w:pStyle w:val="RTNumberedHeading"/>
      </w:pPr>
      <w:bookmarkStart w:id="15" w:name="_Toc482741424"/>
      <w:r w:rsidRPr="002F1FAB">
        <w:t>FORCES DRIVING CRIMINALIZATION OF PREGNANCY</w:t>
      </w:r>
      <w:bookmarkEnd w:id="15"/>
    </w:p>
    <w:p w14:paraId="440657D3" w14:textId="3BA1B92E" w:rsidR="002F1FAB" w:rsidRDefault="002F1FAB" w:rsidP="002F1FAB">
      <w:pPr>
        <w:pStyle w:val="RTNumberedSubheading"/>
      </w:pPr>
      <w:bookmarkStart w:id="16" w:name="_Toc482741425"/>
      <w:r>
        <w:t>a history of racial discrimination in</w:t>
      </w:r>
      <w:r w:rsidR="00443A83">
        <w:br/>
      </w:r>
      <w:r>
        <w:t>policing reproduction</w:t>
      </w:r>
      <w:bookmarkEnd w:id="16"/>
    </w:p>
    <w:p w14:paraId="124451DB" w14:textId="12C50204" w:rsidR="002F1FAB" w:rsidRPr="002F1FAB" w:rsidRDefault="002F1FAB" w:rsidP="002F1FAB">
      <w:pPr>
        <w:pStyle w:val="RTBodyText"/>
      </w:pPr>
      <w:r w:rsidRPr="002F1FAB">
        <w:t xml:space="preserve">Criminal prosecutions of women </w:t>
      </w:r>
      <w:r w:rsidR="004A5B85">
        <w:t xml:space="preserve">in the USA </w:t>
      </w:r>
      <w:r w:rsidRPr="002F1FAB">
        <w:t>based on their actions during pregnancy began to increase sharply in the late 1980s, following debates on abortion rights, repressive drug control policies in the so-called “war on drugs” and a political turn toward stigmatizing urban poverty. The American Civil Liberties Union Reproductive Freedom project first documented prosecutions in 1990</w:t>
      </w:r>
      <w:r w:rsidR="004A5B85">
        <w:t>;</w:t>
      </w:r>
      <w:r w:rsidRPr="002F1FAB">
        <w:t xml:space="preserve"> by 1992, there were more than 160</w:t>
      </w:r>
      <w:r w:rsidR="004A5B85">
        <w:t xml:space="preserve"> prosecutions</w:t>
      </w:r>
      <w:r w:rsidRPr="002F1FAB">
        <w:t xml:space="preserve"> in 24 states.</w:t>
      </w:r>
      <w:r w:rsidRPr="002F1FAB">
        <w:rPr>
          <w:vertAlign w:val="superscript"/>
        </w:rPr>
        <w:footnoteReference w:id="58"/>
      </w:r>
      <w:r w:rsidRPr="002F1FAB">
        <w:t xml:space="preserve"> About 75% of the prosecutions were brought against women of </w:t>
      </w:r>
      <w:proofErr w:type="spellStart"/>
      <w:r w:rsidRPr="002F1FAB">
        <w:t>color</w:t>
      </w:r>
      <w:proofErr w:type="spellEnd"/>
      <w:r w:rsidRPr="002F1FAB">
        <w:t xml:space="preserve">, though approximately 75% of the </w:t>
      </w:r>
      <w:r w:rsidR="00FB34AF">
        <w:t xml:space="preserve">US </w:t>
      </w:r>
      <w:r w:rsidRPr="002F1FAB">
        <w:t xml:space="preserve">population was </w:t>
      </w:r>
      <w:r w:rsidR="004A5B85">
        <w:t>w</w:t>
      </w:r>
      <w:r w:rsidRPr="002F1FAB">
        <w:t>hite.</w:t>
      </w:r>
      <w:r w:rsidRPr="002F1FAB">
        <w:rPr>
          <w:vertAlign w:val="superscript"/>
        </w:rPr>
        <w:footnoteReference w:id="59"/>
      </w:r>
      <w:r w:rsidRPr="002F1FAB">
        <w:rPr>
          <w:vertAlign w:val="superscript"/>
        </w:rPr>
        <w:t xml:space="preserve"> </w:t>
      </w:r>
      <w:r w:rsidRPr="002F1FAB">
        <w:t xml:space="preserve"> </w:t>
      </w:r>
    </w:p>
    <w:p w14:paraId="62050297" w14:textId="666E7D74" w:rsidR="004E2AF9" w:rsidRDefault="002F1FAB" w:rsidP="002F1FAB">
      <w:pPr>
        <w:pStyle w:val="RTBodyText"/>
      </w:pPr>
      <w:r w:rsidRPr="002F1FAB">
        <w:t>At th</w:t>
      </w:r>
      <w:r w:rsidR="004A5B85">
        <w:t>at</w:t>
      </w:r>
      <w:r w:rsidRPr="002F1FAB">
        <w:t xml:space="preserve"> time, the</w:t>
      </w:r>
      <w:r w:rsidR="004A5B85">
        <w:t xml:space="preserve"> </w:t>
      </w:r>
      <w:r w:rsidRPr="002F1FAB">
        <w:t xml:space="preserve">media </w:t>
      </w:r>
      <w:r w:rsidR="004A5B85">
        <w:t xml:space="preserve">focused on </w:t>
      </w:r>
      <w:r w:rsidRPr="002F1FAB">
        <w:t xml:space="preserve">crime in American cities and </w:t>
      </w:r>
      <w:r w:rsidR="004A5B85">
        <w:t>the</w:t>
      </w:r>
      <w:r w:rsidRPr="002F1FAB">
        <w:t xml:space="preserve"> perceived “epidemic” of crack cocaine use. While </w:t>
      </w:r>
      <w:r w:rsidR="004A5B85">
        <w:t xml:space="preserve">African-Americans </w:t>
      </w:r>
      <w:r w:rsidRPr="002F1FAB">
        <w:t xml:space="preserve">use illegal drugs at approximately the same rate as </w:t>
      </w:r>
      <w:r w:rsidR="004A5B85">
        <w:t>w</w:t>
      </w:r>
      <w:r w:rsidRPr="002F1FAB">
        <w:t xml:space="preserve">hites, they are </w:t>
      </w:r>
      <w:r w:rsidR="004A5B85">
        <w:t xml:space="preserve">ten </w:t>
      </w:r>
      <w:r w:rsidRPr="002F1FAB">
        <w:t>times more likely to go to prison for drug offenses.</w:t>
      </w:r>
      <w:r w:rsidRPr="002F1FAB">
        <w:rPr>
          <w:vertAlign w:val="superscript"/>
        </w:rPr>
        <w:footnoteReference w:id="60"/>
      </w:r>
      <w:r w:rsidRPr="002F1FAB">
        <w:t xml:space="preserve"> Laws that appear to be race neutral may also disproportionately impact Black communities. For example, at the time, it took 100 times more powder cocaine to trigger the same sentence as the same amount of crack cocaine, a form of the drug that was associated with Blacks in the popular consciousness.</w:t>
      </w:r>
      <w:r w:rsidRPr="002F1FAB">
        <w:rPr>
          <w:vertAlign w:val="superscript"/>
        </w:rPr>
        <w:footnoteReference w:id="61"/>
      </w:r>
      <w:r w:rsidRPr="002F1FAB">
        <w:t xml:space="preserve"> </w:t>
      </w:r>
    </w:p>
    <w:p w14:paraId="38E7ECD7" w14:textId="15003FD9" w:rsidR="005E4489" w:rsidRDefault="002F1FAB" w:rsidP="002F1FAB">
      <w:pPr>
        <w:pStyle w:val="RTBodyText"/>
      </w:pPr>
      <w:r w:rsidRPr="002F1FAB">
        <w:t>Media portrayals of babies born harmed by their mothers’ cocaine use during pregnancy spread quickly despite a lack of scientific evidence of the purported harm. These reports reflected and perpetuated stigma and blamed women, rather than encouraging the state to take responsibility for failures in the health</w:t>
      </w:r>
      <w:r w:rsidR="0021094A">
        <w:t>care</w:t>
      </w:r>
      <w:r w:rsidRPr="002F1FAB">
        <w:t xml:space="preserve"> system</w:t>
      </w:r>
      <w:r w:rsidR="0021094A">
        <w:t>,</w:t>
      </w:r>
      <w:r w:rsidRPr="002F1FAB">
        <w:t xml:space="preserve"> including lack of access to </w:t>
      </w:r>
      <w:r w:rsidR="00CF7C14">
        <w:t>healthcare</w:t>
      </w:r>
      <w:r w:rsidRPr="002F1FAB">
        <w:t xml:space="preserve"> and discrimination in </w:t>
      </w:r>
      <w:r w:rsidR="00CF7C14">
        <w:t>healthcare</w:t>
      </w:r>
      <w:r w:rsidRPr="002F1FAB">
        <w:t xml:space="preserve"> settings.</w:t>
      </w:r>
      <w:r w:rsidRPr="002F1FAB">
        <w:rPr>
          <w:vertAlign w:val="superscript"/>
        </w:rPr>
        <w:footnoteReference w:id="62"/>
      </w:r>
      <w:r w:rsidRPr="002F1FAB">
        <w:t xml:space="preserve"> </w:t>
      </w:r>
    </w:p>
    <w:p w14:paraId="66E7A4C6" w14:textId="2AEB0415" w:rsidR="002F1FAB" w:rsidRPr="002F1FAB" w:rsidRDefault="00211DB0" w:rsidP="002F1FAB">
      <w:pPr>
        <w:pStyle w:val="RTBodyText"/>
      </w:pPr>
      <w:r>
        <w:t>E</w:t>
      </w:r>
      <w:r w:rsidR="002F1FAB" w:rsidRPr="002F1FAB">
        <w:t>xtensive long-term scientific studies have found that developmental outcomes are related to the complex social environment in which individuals develop and that cocaine exposure does not result in measurable differences in intelligence and other outcomes.</w:t>
      </w:r>
      <w:r w:rsidR="002F1FAB" w:rsidRPr="002F1FAB">
        <w:rPr>
          <w:vertAlign w:val="superscript"/>
        </w:rPr>
        <w:footnoteReference w:id="63"/>
      </w:r>
      <w:r w:rsidR="002F1FAB" w:rsidRPr="002F1FAB">
        <w:t xml:space="preserve"> Poverty is a more powerful influence than exposure to cocaine.</w:t>
      </w:r>
      <w:r w:rsidR="002F1FAB" w:rsidRPr="002F1FAB">
        <w:rPr>
          <w:vertAlign w:val="superscript"/>
        </w:rPr>
        <w:footnoteReference w:id="64"/>
      </w:r>
      <w:r w:rsidR="002F1FAB" w:rsidRPr="002F1FAB">
        <w:t xml:space="preserve"> Despite the evidence, sensationalized </w:t>
      </w:r>
      <w:r w:rsidR="005E4489">
        <w:t xml:space="preserve">media </w:t>
      </w:r>
      <w:r w:rsidR="002F1FAB" w:rsidRPr="002F1FAB">
        <w:t>accounts alleging women’s callous disregard for the health of their pregnancies caught on in the public imagination and drove early “</w:t>
      </w:r>
      <w:proofErr w:type="spellStart"/>
      <w:r w:rsidR="002F1FAB" w:rsidRPr="002F1FAB">
        <w:t>fetal</w:t>
      </w:r>
      <w:proofErr w:type="spellEnd"/>
      <w:r w:rsidR="002F1FAB" w:rsidRPr="002F1FAB">
        <w:t xml:space="preserve"> protection” efforts. The assumption of substance use as an indicator of maternal unfitness has persisted, causing continued stigmatization and overbroad criminal law </w:t>
      </w:r>
      <w:proofErr w:type="spellStart"/>
      <w:r w:rsidR="002F1FAB" w:rsidRPr="002F1FAB">
        <w:t>endeavors</w:t>
      </w:r>
      <w:proofErr w:type="spellEnd"/>
      <w:r w:rsidR="002F1FAB" w:rsidRPr="002F1FAB">
        <w:t>.</w:t>
      </w:r>
      <w:r w:rsidR="002F1FAB" w:rsidRPr="002F1FAB">
        <w:rPr>
          <w:vertAlign w:val="superscript"/>
        </w:rPr>
        <w:footnoteReference w:id="65"/>
      </w:r>
      <w:r w:rsidR="002F1FAB" w:rsidRPr="002F1FAB">
        <w:rPr>
          <w:vertAlign w:val="superscript"/>
        </w:rPr>
        <w:t xml:space="preserve"> </w:t>
      </w:r>
    </w:p>
    <w:p w14:paraId="5FA93ABC" w14:textId="01870A19" w:rsidR="002F1FAB" w:rsidRPr="002F1FAB" w:rsidRDefault="002F1FAB" w:rsidP="002F1FAB">
      <w:pPr>
        <w:pStyle w:val="RTBodyText"/>
      </w:pPr>
      <w:r w:rsidRPr="002F1FAB">
        <w:t xml:space="preserve">The sensationalized images of infants born “addicted” to drugs remained in the popular consciousness and in accounts of pregnant women’s drug use. </w:t>
      </w:r>
      <w:r w:rsidR="001F6BBE">
        <w:t xml:space="preserve">Exaggerated </w:t>
      </w:r>
      <w:r w:rsidRPr="002F1FAB">
        <w:t xml:space="preserve">media </w:t>
      </w:r>
      <w:r w:rsidR="001F6BBE">
        <w:t>reports</w:t>
      </w:r>
      <w:r w:rsidR="001F6BBE" w:rsidRPr="002F1FAB">
        <w:t xml:space="preserve"> </w:t>
      </w:r>
      <w:r w:rsidRPr="002F1FAB">
        <w:t xml:space="preserve">of methamphetamine use in the early </w:t>
      </w:r>
      <w:r w:rsidRPr="002F1FAB">
        <w:lastRenderedPageBreak/>
        <w:t xml:space="preserve">2000s followed a similar pattern, decrying a “scourge” of drug use accompanying the economic struggles of rural </w:t>
      </w:r>
      <w:r w:rsidR="001F6BBE">
        <w:t>w</w:t>
      </w:r>
      <w:r w:rsidRPr="002F1FAB">
        <w:t>hite communities.</w:t>
      </w:r>
      <w:r w:rsidRPr="002F1FAB">
        <w:rPr>
          <w:vertAlign w:val="superscript"/>
        </w:rPr>
        <w:footnoteReference w:id="66"/>
      </w:r>
      <w:r w:rsidRPr="002F1FAB">
        <w:t xml:space="preserve"> </w:t>
      </w:r>
    </w:p>
    <w:p w14:paraId="7A3F3355" w14:textId="590F2B30" w:rsidR="002F1FAB" w:rsidRPr="002F1FAB" w:rsidRDefault="002F1FAB" w:rsidP="002F1FAB">
      <w:pPr>
        <w:pStyle w:val="RTBodyText"/>
      </w:pPr>
      <w:r w:rsidRPr="002F1FAB">
        <w:t xml:space="preserve">Recent concern over prescription opiate painkiller abuse has led to new concern over reducing the costs of caring for </w:t>
      </w:r>
      <w:proofErr w:type="spellStart"/>
      <w:r w:rsidRPr="002F1FAB">
        <w:t>newborns</w:t>
      </w:r>
      <w:proofErr w:type="spellEnd"/>
      <w:r w:rsidRPr="002F1FAB">
        <w:t xml:space="preserve"> experiencing opiate withdrawal.</w:t>
      </w:r>
      <w:r w:rsidRPr="002F1FAB">
        <w:rPr>
          <w:vertAlign w:val="superscript"/>
        </w:rPr>
        <w:footnoteReference w:id="67"/>
      </w:r>
      <w:r w:rsidRPr="002F1FAB">
        <w:t xml:space="preserve"> In all of these cases, the most marginalized communities, including poor women, rural women, and women of </w:t>
      </w:r>
      <w:proofErr w:type="spellStart"/>
      <w:r w:rsidRPr="002F1FAB">
        <w:t>color</w:t>
      </w:r>
      <w:proofErr w:type="spellEnd"/>
      <w:r w:rsidR="001F6BBE">
        <w:t>,</w:t>
      </w:r>
      <w:r w:rsidRPr="002F1FAB">
        <w:t xml:space="preserve"> have been targeted and blamed</w:t>
      </w:r>
      <w:r w:rsidR="001F6BBE">
        <w:t xml:space="preserve"> disproportionally</w:t>
      </w:r>
      <w:r w:rsidRPr="002F1FAB">
        <w:t xml:space="preserve">. </w:t>
      </w:r>
    </w:p>
    <w:p w14:paraId="65A13970" w14:textId="45D286EE" w:rsidR="002F1FAB" w:rsidRPr="002F1FAB" w:rsidRDefault="002F1FAB" w:rsidP="002F1FAB">
      <w:pPr>
        <w:pStyle w:val="RTBodyText"/>
      </w:pPr>
      <w:r w:rsidRPr="002F1FAB">
        <w:t>A study by NAPW identified 413 arrests, detentions and forced interventions on pregnant women between 1973 and 2005.</w:t>
      </w:r>
      <w:r w:rsidRPr="002F1FAB">
        <w:rPr>
          <w:vertAlign w:val="superscript"/>
        </w:rPr>
        <w:footnoteReference w:id="68"/>
      </w:r>
      <w:r w:rsidRPr="002F1FAB">
        <w:rPr>
          <w:vertAlign w:val="superscript"/>
        </w:rPr>
        <w:t xml:space="preserve"> </w:t>
      </w:r>
      <w:r w:rsidRPr="002F1FAB">
        <w:t>Of these cases, the vast majority of women were economically disadvantaged, with 71</w:t>
      </w:r>
      <w:r w:rsidR="001F6BBE">
        <w:t>%</w:t>
      </w:r>
      <w:r w:rsidRPr="002F1FAB">
        <w:t xml:space="preserve"> qualifying for indigent </w:t>
      </w:r>
      <w:proofErr w:type="spellStart"/>
      <w:r w:rsidRPr="002F1FAB">
        <w:t>defense</w:t>
      </w:r>
      <w:proofErr w:type="spellEnd"/>
      <w:r w:rsidRPr="002F1FAB">
        <w:t>. Of the 368 women for whom information on race was available, 59</w:t>
      </w:r>
      <w:r w:rsidR="001F6BBE">
        <w:t>%</w:t>
      </w:r>
      <w:r w:rsidR="00EB4CF9">
        <w:t xml:space="preserve"> </w:t>
      </w:r>
      <w:r w:rsidRPr="002F1FAB">
        <w:t xml:space="preserve">were women of </w:t>
      </w:r>
      <w:proofErr w:type="spellStart"/>
      <w:r w:rsidRPr="002F1FAB">
        <w:t>color</w:t>
      </w:r>
      <w:proofErr w:type="spellEnd"/>
      <w:r w:rsidRPr="002F1FAB">
        <w:t>, including African</w:t>
      </w:r>
      <w:r w:rsidR="001F6BBE">
        <w:t>-</w:t>
      </w:r>
      <w:r w:rsidRPr="002F1FAB">
        <w:t>Americans, Hispanic American/Latinas, Native Americans, and Asian/Pacific Islanders. Comprising 52</w:t>
      </w:r>
      <w:r w:rsidR="001F6BBE">
        <w:t>%</w:t>
      </w:r>
      <w:r w:rsidRPr="002F1FAB">
        <w:t xml:space="preserve"> of the cases, African</w:t>
      </w:r>
      <w:r w:rsidR="001F6BBE">
        <w:t>-</w:t>
      </w:r>
      <w:r w:rsidRPr="002F1FAB">
        <w:t xml:space="preserve">American women were particularly overrepresented. </w:t>
      </w:r>
    </w:p>
    <w:p w14:paraId="75257DBD" w14:textId="77777777" w:rsidR="002F1FAB" w:rsidRPr="002F1FAB" w:rsidRDefault="002F1FAB" w:rsidP="002F1FAB">
      <w:pPr>
        <w:pStyle w:val="RTNumberedSubheading"/>
      </w:pPr>
      <w:bookmarkStart w:id="17" w:name="_Toc459019942"/>
      <w:bookmarkStart w:id="18" w:name="_Toc472099365"/>
      <w:bookmarkStart w:id="19" w:name="_Toc482741426"/>
      <w:r w:rsidRPr="002F1FAB">
        <w:t>The Erosion of Sexual and Reproductive Rights</w:t>
      </w:r>
      <w:bookmarkEnd w:id="17"/>
      <w:bookmarkEnd w:id="18"/>
      <w:bookmarkEnd w:id="19"/>
      <w:r w:rsidRPr="002F1FAB">
        <w:t xml:space="preserve"> </w:t>
      </w:r>
    </w:p>
    <w:p w14:paraId="3A55A5C2" w14:textId="7F98FBE4" w:rsidR="002F1FAB" w:rsidRPr="002F1FAB" w:rsidRDefault="002F1FAB" w:rsidP="002F1FAB">
      <w:pPr>
        <w:pStyle w:val="RTBodyText"/>
      </w:pPr>
      <w:r w:rsidRPr="002F1FAB">
        <w:t>Women's sexual and reproductive rights have been and continue to be contested terrain in the USA. Each month legislation targeting sexual and reproductive actions and decisions are introduced in states across the country.</w:t>
      </w:r>
      <w:r w:rsidRPr="002F1FAB">
        <w:rPr>
          <w:vertAlign w:val="superscript"/>
        </w:rPr>
        <w:footnoteReference w:id="69"/>
      </w:r>
      <w:r w:rsidRPr="002F1FAB">
        <w:t xml:space="preserve"> </w:t>
      </w:r>
      <w:r w:rsidR="000F4A5C">
        <w:t>In January 2017, a total of 434 provisions impacting sexual and reproductive health were introduced at the state level.</w:t>
      </w:r>
      <w:r w:rsidR="000F4A5C">
        <w:rPr>
          <w:rStyle w:val="FootnoteReference"/>
        </w:rPr>
        <w:footnoteReference w:id="70"/>
      </w:r>
      <w:r w:rsidR="000F4A5C">
        <w:t xml:space="preserve"> Many of these bills propose restrictions on sexual and reproductive rights that will be harmful </w:t>
      </w:r>
      <w:r w:rsidR="00013B24">
        <w:t xml:space="preserve">for women and maternal health </w:t>
      </w:r>
      <w:r w:rsidR="000F4A5C">
        <w:t xml:space="preserve">if enacted as law. </w:t>
      </w:r>
      <w:r w:rsidRPr="002F1FAB">
        <w:t xml:space="preserve">These </w:t>
      </w:r>
      <w:r w:rsidR="000F4A5C">
        <w:t xml:space="preserve">provisions </w:t>
      </w:r>
      <w:r w:rsidRPr="002F1FAB">
        <w:t>include measures to restrict abortion rights, cut funding and availability for family planning services and health insurance coverage for sexual and reproductive healthcare.</w:t>
      </w:r>
      <w:r w:rsidRPr="002F1FAB">
        <w:rPr>
          <w:vertAlign w:val="superscript"/>
        </w:rPr>
        <w:footnoteReference w:id="71"/>
      </w:r>
      <w:r w:rsidRPr="002F1FAB">
        <w:t xml:space="preserve"> The result is the erosion of women’s rights to sexual and reproductive health, as well as negative impacts on their broader human rights.</w:t>
      </w:r>
      <w:r w:rsidRPr="002F1FAB">
        <w:rPr>
          <w:vertAlign w:val="superscript"/>
        </w:rPr>
        <w:footnoteReference w:id="72"/>
      </w:r>
    </w:p>
    <w:p w14:paraId="02C4E51D" w14:textId="47F4DEE2" w:rsidR="002F1FAB" w:rsidRPr="002F1FAB" w:rsidRDefault="00211DB0" w:rsidP="002F1FAB">
      <w:pPr>
        <w:pStyle w:val="RTBodyText"/>
      </w:pPr>
      <w:r>
        <w:t>E</w:t>
      </w:r>
      <w:r w:rsidR="002F1FAB" w:rsidRPr="002F1FAB">
        <w:t xml:space="preserve">ach </w:t>
      </w:r>
      <w:r>
        <w:t xml:space="preserve">US </w:t>
      </w:r>
      <w:r w:rsidR="002F1FAB" w:rsidRPr="002F1FAB">
        <w:t>state is covered by its own criminal code. Prosecutors are charged with enforcing state law and there are few institutional controls from the federal level.</w:t>
      </w:r>
      <w:r w:rsidR="002F1FAB" w:rsidRPr="002F1FAB">
        <w:rPr>
          <w:vertAlign w:val="superscript"/>
        </w:rPr>
        <w:footnoteReference w:id="73"/>
      </w:r>
      <w:r w:rsidR="002F1FAB" w:rsidRPr="002F1FAB">
        <w:t xml:space="preserve"> </w:t>
      </w:r>
      <w:r w:rsidR="00AA3379">
        <w:t>L</w:t>
      </w:r>
      <w:r w:rsidR="002F1FAB" w:rsidRPr="002F1FAB">
        <w:t>ocal prosecutors have wide discretion regarding which laws to prioritize enforcement and these priorities may be swayed by political concerns, as many prosecutors are elected (as opposed to appointed) in many jurisdictions.</w:t>
      </w:r>
      <w:r w:rsidR="002F1FAB" w:rsidRPr="002F1FAB">
        <w:rPr>
          <w:vertAlign w:val="superscript"/>
        </w:rPr>
        <w:footnoteReference w:id="74"/>
      </w:r>
      <w:r w:rsidR="002F1FAB" w:rsidRPr="002F1FAB">
        <w:t xml:space="preserve"> In order to appeal to voters, prosecutors may opt to take stands that are politically popular or expedient.</w:t>
      </w:r>
      <w:r w:rsidR="002F1FAB" w:rsidRPr="002F1FAB">
        <w:rPr>
          <w:vertAlign w:val="superscript"/>
        </w:rPr>
        <w:footnoteReference w:id="75"/>
      </w:r>
      <w:r w:rsidR="002F1FAB" w:rsidRPr="002F1FAB">
        <w:t xml:space="preserve">  </w:t>
      </w:r>
    </w:p>
    <w:p w14:paraId="5AD5231A" w14:textId="18499473" w:rsidR="002F1FAB" w:rsidRPr="002F1FAB" w:rsidRDefault="002F1FAB" w:rsidP="002F1FAB">
      <w:pPr>
        <w:pStyle w:val="RTBodyText"/>
      </w:pPr>
      <w:r w:rsidRPr="002F1FAB">
        <w:t>Laws regulating women’s reproduction include restrictions on access to contraception and abortion services.  Such regulations are often premised on patriarchal attitudes towards women, particularly as they relate to childbearing and motherhood, and subject women’s reproductive decisions to an unparalleled level of scrutiny and surveillance.</w:t>
      </w:r>
      <w:r w:rsidRPr="002F1FAB">
        <w:rPr>
          <w:vertAlign w:val="superscript"/>
        </w:rPr>
        <w:footnoteReference w:id="76"/>
      </w:r>
      <w:r w:rsidR="0093486B">
        <w:t xml:space="preserve"> </w:t>
      </w:r>
      <w:r w:rsidRPr="002F1FAB">
        <w:t>The notion that women’s health should be protected primarily due to the possibility of pregnancy threatens to conflate women’s health with maternal health and enables imposing discriminatory regulations on women simply because of their reproductive capacity.</w:t>
      </w:r>
      <w:r w:rsidRPr="002F1FAB">
        <w:rPr>
          <w:vertAlign w:val="superscript"/>
        </w:rPr>
        <w:footnoteReference w:id="77"/>
      </w:r>
      <w:r w:rsidRPr="002F1FAB">
        <w:t xml:space="preserve"> </w:t>
      </w:r>
    </w:p>
    <w:p w14:paraId="3DB08246" w14:textId="3D3024A1" w:rsidR="002F1FAB" w:rsidRPr="002F1FAB" w:rsidRDefault="002F1FAB" w:rsidP="00AF07E5">
      <w:pPr>
        <w:pStyle w:val="RTNumberedSubheading"/>
      </w:pPr>
      <w:bookmarkStart w:id="20" w:name="_Toc318639757"/>
      <w:bookmarkStart w:id="21" w:name="_Toc459019943"/>
      <w:bookmarkStart w:id="22" w:name="_Toc472099366"/>
      <w:bookmarkStart w:id="23" w:name="_Toc482741427"/>
      <w:r w:rsidRPr="002F1FAB">
        <w:lastRenderedPageBreak/>
        <w:t xml:space="preserve">Health Disparities and Discrimination in </w:t>
      </w:r>
      <w:r w:rsidR="00A2020F">
        <w:br/>
      </w:r>
      <w:r w:rsidRPr="002F1FAB">
        <w:t>Maternal Healthcare</w:t>
      </w:r>
      <w:bookmarkEnd w:id="20"/>
      <w:bookmarkEnd w:id="21"/>
      <w:bookmarkEnd w:id="22"/>
      <w:bookmarkEnd w:id="23"/>
    </w:p>
    <w:p w14:paraId="37828B80" w14:textId="610D2807" w:rsidR="002F1FAB" w:rsidRPr="002F1FAB" w:rsidRDefault="002C12B8" w:rsidP="002F1FAB">
      <w:pPr>
        <w:pStyle w:val="RTBodyText"/>
      </w:pPr>
      <w:r>
        <w:t>In the USA, w</w:t>
      </w:r>
      <w:r w:rsidR="002F1FAB" w:rsidRPr="002F1FAB">
        <w:t>omen’s and girls’ access to comprehensive sexual and reproductive healthcare are neither uniform nor guaranteed.</w:t>
      </w:r>
      <w:r w:rsidR="002F1FAB" w:rsidRPr="002F1FAB">
        <w:rPr>
          <w:vertAlign w:val="superscript"/>
        </w:rPr>
        <w:footnoteReference w:id="78"/>
      </w:r>
      <w:r w:rsidR="002F1FAB" w:rsidRPr="002F1FAB">
        <w:t xml:space="preserve"> The federal Constitution does not explicitly protect the right to health and there are longstanding political debates regarding the provision of healthcare services. Along those lines, healthcare is available through a patchwork of private and public state coverage that leaves many without adequate access to care.</w:t>
      </w:r>
      <w:r w:rsidR="002F1FAB" w:rsidRPr="002F1FAB">
        <w:rPr>
          <w:vertAlign w:val="superscript"/>
        </w:rPr>
        <w:footnoteReference w:id="79"/>
      </w:r>
    </w:p>
    <w:p w14:paraId="262E7FB3" w14:textId="406D4E9B" w:rsidR="002F1FAB" w:rsidRDefault="002F1FAB" w:rsidP="002F1FAB">
      <w:pPr>
        <w:pStyle w:val="RTBodyText"/>
      </w:pPr>
      <w:r w:rsidRPr="002F1FAB">
        <w:t xml:space="preserve">An individual’s ability to access </w:t>
      </w:r>
      <w:r w:rsidR="00CF7C14">
        <w:t>healthcare</w:t>
      </w:r>
      <w:r w:rsidRPr="002F1FAB">
        <w:t xml:space="preserve"> depends on a number of factors including where they live, state laws and policies and socio-economic status. Access to health insurance, in particular, is often precarious, hinging on one’s employment, immigration status, and entitlements (or lack thereof) provided by the city or state, as well as one’s health condition. The healthcare systems in Alabama and Tennessee, two of the </w:t>
      </w:r>
      <w:proofErr w:type="spellStart"/>
      <w:r w:rsidRPr="002F1FAB">
        <w:t>states</w:t>
      </w:r>
      <w:proofErr w:type="spellEnd"/>
      <w:r w:rsidRPr="002F1FAB">
        <w:t xml:space="preserve"> </w:t>
      </w:r>
      <w:r w:rsidR="002C12B8">
        <w:t xml:space="preserve">Amnesty International </w:t>
      </w:r>
      <w:proofErr w:type="gramStart"/>
      <w:r w:rsidRPr="002F1FAB">
        <w:t>focus</w:t>
      </w:r>
      <w:r w:rsidR="002C12B8">
        <w:t>es</w:t>
      </w:r>
      <w:proofErr w:type="gramEnd"/>
      <w:r w:rsidRPr="002F1FAB">
        <w:t xml:space="preserve"> on in this report, rank in the bottom quartile in terms of access and affordability.</w:t>
      </w:r>
      <w:r w:rsidRPr="002F1FAB">
        <w:rPr>
          <w:vertAlign w:val="superscript"/>
        </w:rPr>
        <w:footnoteReference w:id="80"/>
      </w:r>
      <w:r w:rsidRPr="002F1FAB">
        <w:t xml:space="preserve"> </w:t>
      </w:r>
    </w:p>
    <w:p w14:paraId="7C8BA2E0" w14:textId="7E93C920" w:rsidR="005A2312" w:rsidRPr="002F1FAB" w:rsidRDefault="005A2312" w:rsidP="002F1FAB">
      <w:pPr>
        <w:pStyle w:val="RTBodyText"/>
      </w:pPr>
      <w:r w:rsidRPr="005A2312">
        <w:t xml:space="preserve">Income shapes the type of prenatal healthcare women receive due to the way insurance coverage structures the American healthcare system. </w:t>
      </w:r>
      <w:r>
        <w:t>T</w:t>
      </w:r>
      <w:r w:rsidRPr="005A2312">
        <w:t xml:space="preserve">he protocols for prenatal care </w:t>
      </w:r>
      <w:r>
        <w:t xml:space="preserve">can </w:t>
      </w:r>
      <w:r w:rsidRPr="005A2312">
        <w:t>differ based on whether a woman accesses healthcare</w:t>
      </w:r>
      <w:r w:rsidRPr="00333BB1">
        <w:t xml:space="preserve"> through private insurance, or through Medicaid, a government-funded and regulated health program for people with low-incomes.</w:t>
      </w:r>
      <w:r w:rsidRPr="00333BB1">
        <w:rPr>
          <w:vertAlign w:val="superscript"/>
        </w:rPr>
        <w:footnoteReference w:id="81"/>
      </w:r>
      <w:r w:rsidRPr="00333BB1">
        <w:t xml:space="preserve"> </w:t>
      </w:r>
    </w:p>
    <w:p w14:paraId="21113B40" w14:textId="1D852783" w:rsidR="00151DF6" w:rsidRDefault="002F1FAB" w:rsidP="002F1FAB">
      <w:pPr>
        <w:pStyle w:val="RTBodyText"/>
      </w:pPr>
      <w:r w:rsidRPr="002F1FAB">
        <w:t>Racial disparities are particularly pronounced in terms of access to and quality of maternal healthcare.  Black women in the U</w:t>
      </w:r>
      <w:r w:rsidR="002C12B8">
        <w:t>SA</w:t>
      </w:r>
      <w:r w:rsidRPr="002F1FAB">
        <w:t xml:space="preserve"> are three to four times more likely to die from pregnancy-related causes than </w:t>
      </w:r>
      <w:r w:rsidR="002C12B8">
        <w:t>w</w:t>
      </w:r>
      <w:r w:rsidRPr="002F1FAB">
        <w:t>hite women.</w:t>
      </w:r>
      <w:r w:rsidRPr="002F1FAB">
        <w:rPr>
          <w:vertAlign w:val="superscript"/>
        </w:rPr>
        <w:footnoteReference w:id="82"/>
      </w:r>
      <w:r w:rsidRPr="002F1FAB">
        <w:t xml:space="preserve"> In 2008, the UN Committee on the Elimination of Racial Discrimination recognized pervasive racial disparities in women’s sexual and reproductive health and called on the US government to improve women’s access to reproductive and sexual healthcare.</w:t>
      </w:r>
      <w:r w:rsidRPr="002F1FAB">
        <w:rPr>
          <w:vertAlign w:val="superscript"/>
        </w:rPr>
        <w:footnoteReference w:id="83"/>
      </w:r>
      <w:r w:rsidRPr="002F1FAB">
        <w:t xml:space="preserve"> </w:t>
      </w:r>
    </w:p>
    <w:p w14:paraId="185E1CB2" w14:textId="5F5DAD7D" w:rsidR="00151DF6" w:rsidRDefault="00151DF6" w:rsidP="002F1FAB">
      <w:pPr>
        <w:pStyle w:val="RTBodyText"/>
      </w:pPr>
      <w:r w:rsidRPr="00151DF6">
        <w:rPr>
          <w:lang w:val="en-US"/>
        </w:rPr>
        <w:t>This disparity is driven by multiple and intersecting discrimination, where racial and gender discrimination intersect with poverty, a lack of health insurance and other barriers to healthcare access.</w:t>
      </w:r>
      <w:r w:rsidRPr="00151DF6">
        <w:rPr>
          <w:vertAlign w:val="superscript"/>
          <w:lang w:val="en-US"/>
        </w:rPr>
        <w:footnoteReference w:id="84"/>
      </w:r>
      <w:r w:rsidRPr="00151DF6">
        <w:rPr>
          <w:lang w:val="en-US"/>
        </w:rPr>
        <w:t xml:space="preserve"> Those most in need are the first to have their rights threatened by measures to cut funding or access to sexual and reproductive healthcare services</w:t>
      </w:r>
      <w:r w:rsidR="00112BE4">
        <w:rPr>
          <w:lang w:val="en-US"/>
        </w:rPr>
        <w:t>.</w:t>
      </w:r>
    </w:p>
    <w:p w14:paraId="54405C1E" w14:textId="57425617" w:rsidR="00C72AD7" w:rsidRDefault="002F1FAB" w:rsidP="002F1FAB">
      <w:pPr>
        <w:pStyle w:val="RTBodyText"/>
      </w:pPr>
      <w:r w:rsidRPr="002F1FAB">
        <w:t xml:space="preserve">An Amnesty International report </w:t>
      </w:r>
      <w:r w:rsidR="002C12B8">
        <w:t xml:space="preserve">from 2010 </w:t>
      </w:r>
      <w:r w:rsidRPr="002F1FAB">
        <w:t>on the maternal healthcare crisis in the USA catalogued the US government’s failures to ensure that all women are able to enjoy the highest attainable standard of health by providing them with the necessary services and information on the basis of equality and non-discrimination.</w:t>
      </w:r>
      <w:r w:rsidRPr="002F1FAB">
        <w:rPr>
          <w:vertAlign w:val="superscript"/>
        </w:rPr>
        <w:footnoteReference w:id="85"/>
      </w:r>
      <w:r w:rsidRPr="002F1FAB">
        <w:t xml:space="preserve"> </w:t>
      </w:r>
    </w:p>
    <w:p w14:paraId="441AE03C" w14:textId="561948DE" w:rsidR="00C72AD7" w:rsidRDefault="00C72AD7" w:rsidP="00112BE4">
      <w:pPr>
        <w:pStyle w:val="RTSmallheadingCAPS"/>
      </w:pPr>
      <w:r>
        <w:t>Drug testing</w:t>
      </w:r>
    </w:p>
    <w:p w14:paraId="6722DA55" w14:textId="27D56AE1" w:rsidR="002F1FAB" w:rsidRPr="002F1FAB" w:rsidRDefault="002F1FAB" w:rsidP="002F1FAB">
      <w:pPr>
        <w:pStyle w:val="RTBodyText"/>
      </w:pPr>
      <w:r w:rsidRPr="002F1FAB">
        <w:t xml:space="preserve">Women with low incomes are less likely to </w:t>
      </w:r>
      <w:r w:rsidR="002C12B8">
        <w:t xml:space="preserve">be </w:t>
      </w:r>
      <w:r w:rsidR="00151DF6">
        <w:t>in</w:t>
      </w:r>
      <w:r w:rsidRPr="002F1FAB">
        <w:t xml:space="preserve"> good health </w:t>
      </w:r>
      <w:r w:rsidR="002C12B8">
        <w:t xml:space="preserve">when becoming pregnant </w:t>
      </w:r>
      <w:r w:rsidRPr="002F1FAB">
        <w:t xml:space="preserve">because of a lack of access to primary </w:t>
      </w:r>
      <w:r w:rsidR="00CF7C14">
        <w:t>healthcare</w:t>
      </w:r>
      <w:r w:rsidRPr="002F1FAB">
        <w:t xml:space="preserve"> services. These women are also more likely to experience complications during their pregnancies. Pregnancy complications or health issues after birth often bring drug testing which can then serve as the basis for criminal charges and determinations that women are “unfit” to parent their children. </w:t>
      </w:r>
      <w:r w:rsidR="00C72AD7">
        <w:t>I</w:t>
      </w:r>
      <w:r w:rsidRPr="002F1FAB">
        <w:t>n the presence of a positive drug test, poor health may be considered evidence of “harm.”</w:t>
      </w:r>
      <w:r w:rsidRPr="002F1FAB">
        <w:rPr>
          <w:vertAlign w:val="superscript"/>
        </w:rPr>
        <w:footnoteReference w:id="86"/>
      </w:r>
    </w:p>
    <w:p w14:paraId="3F1EE39E" w14:textId="30E1F31C" w:rsidR="002F1FAB" w:rsidRPr="002F1FAB" w:rsidRDefault="002F1FAB" w:rsidP="002F1FAB">
      <w:pPr>
        <w:pStyle w:val="RTBodyText"/>
      </w:pPr>
      <w:r w:rsidRPr="002F1FAB">
        <w:t>Drug testing is applied selectively, often based on highly discretionary “risk factors.”</w:t>
      </w:r>
      <w:r w:rsidRPr="002F1FAB">
        <w:rPr>
          <w:vertAlign w:val="superscript"/>
        </w:rPr>
        <w:footnoteReference w:id="87"/>
      </w:r>
      <w:r w:rsidRPr="002F1FAB">
        <w:t xml:space="preserve"> The discretionary nature of testing reinforces stigma and discrimination and also reflects providers’ personal attitudes towards their </w:t>
      </w:r>
      <w:r w:rsidRPr="002F1FAB">
        <w:lastRenderedPageBreak/>
        <w:t xml:space="preserve">patients. A study of low-income women who delivered at an urban teaching hospital found that those patients who were single, </w:t>
      </w:r>
      <w:r w:rsidR="00C72AD7">
        <w:t>b</w:t>
      </w:r>
      <w:r w:rsidRPr="002F1FAB">
        <w:t>lack, or received prenatal care at the clinic were more likely to be tested.</w:t>
      </w:r>
      <w:r w:rsidR="00DF4B80" w:rsidRPr="005A2312">
        <w:rPr>
          <w:vertAlign w:val="superscript"/>
        </w:rPr>
        <w:footnoteReference w:id="88"/>
      </w:r>
      <w:r w:rsidRPr="002F1FAB">
        <w:t xml:space="preserve"> </w:t>
      </w:r>
    </w:p>
    <w:p w14:paraId="1F0EFE17" w14:textId="750F4031" w:rsidR="002F1FAB" w:rsidRDefault="002F1FAB" w:rsidP="002F1FAB">
      <w:pPr>
        <w:pStyle w:val="RTBodyText"/>
      </w:pPr>
      <w:r w:rsidRPr="002F1FAB">
        <w:t>Scientific studies have found racial disparities in drug testing practices among pregnant women, as well as racial disparities in the adverse consequences of testing positive.</w:t>
      </w:r>
      <w:r w:rsidRPr="002F1FAB">
        <w:rPr>
          <w:vertAlign w:val="superscript"/>
        </w:rPr>
        <w:footnoteReference w:id="89"/>
      </w:r>
      <w:r w:rsidRPr="002F1FAB">
        <w:t xml:space="preserve"> In one large study of over 8</w:t>
      </w:r>
      <w:r w:rsidR="00C72AD7">
        <w:t>,</w:t>
      </w:r>
      <w:r w:rsidRPr="002F1FAB">
        <w:t xml:space="preserve">000 women, </w:t>
      </w:r>
      <w:r w:rsidR="00C72AD7">
        <w:t>b</w:t>
      </w:r>
      <w:r w:rsidRPr="002F1FAB">
        <w:t>lack women were 1.5 times more likely to be tested for illicit drugs than non</w:t>
      </w:r>
      <w:r w:rsidR="00C72AD7">
        <w:t>-</w:t>
      </w:r>
      <w:r w:rsidRPr="002F1FAB">
        <w:t>black women, despite similar rates of testing positive.</w:t>
      </w:r>
      <w:r w:rsidRPr="002F1FAB">
        <w:rPr>
          <w:vertAlign w:val="superscript"/>
        </w:rPr>
        <w:footnoteReference w:id="90"/>
      </w:r>
      <w:r w:rsidRPr="002F1FAB">
        <w:t xml:space="preserve"> Another study found that </w:t>
      </w:r>
      <w:r w:rsidR="00C72AD7">
        <w:t>b</w:t>
      </w:r>
      <w:r w:rsidRPr="002F1FAB">
        <w:t>lack women testing positive were 10 times more likely to be reported to child protective services.</w:t>
      </w:r>
      <w:r w:rsidRPr="002F1FAB">
        <w:rPr>
          <w:vertAlign w:val="superscript"/>
        </w:rPr>
        <w:footnoteReference w:id="91"/>
      </w:r>
      <w:r w:rsidRPr="002F1FAB">
        <w:t xml:space="preserve"> </w:t>
      </w:r>
    </w:p>
    <w:p w14:paraId="5BD9B543" w14:textId="07D9B9EC" w:rsidR="005A2312" w:rsidRPr="00A6542A" w:rsidRDefault="005A2312" w:rsidP="005A2312">
      <w:pPr>
        <w:pStyle w:val="RTBodyText"/>
      </w:pPr>
      <w:r w:rsidRPr="00333BB1">
        <w:t>Those receiving care through Medicaid may be screened for drug use more frequently than more wealthy women with private insurance.</w:t>
      </w:r>
      <w:r w:rsidRPr="00333BB1">
        <w:rPr>
          <w:vertAlign w:val="superscript"/>
        </w:rPr>
        <w:footnoteReference w:id="92"/>
      </w:r>
      <w:r w:rsidRPr="00333BB1">
        <w:t xml:space="preserve"> The American Congress of Obstetricians</w:t>
      </w:r>
      <w:r w:rsidRPr="00A6542A">
        <w:t xml:space="preserve"> and </w:t>
      </w:r>
      <w:proofErr w:type="spellStart"/>
      <w:r w:rsidRPr="00A6542A">
        <w:t>Gynecologists</w:t>
      </w:r>
      <w:proofErr w:type="spellEnd"/>
      <w:r w:rsidRPr="00A6542A">
        <w:t xml:space="preserve"> has taken the position that imposing mandatory screening for those within the Medicaid program disproportionately burdens low-income communities and racial minorities.</w:t>
      </w:r>
      <w:r w:rsidRPr="00A6542A">
        <w:rPr>
          <w:vertAlign w:val="superscript"/>
        </w:rPr>
        <w:footnoteReference w:id="93"/>
      </w:r>
      <w:r>
        <w:t xml:space="preserve"> </w:t>
      </w:r>
    </w:p>
    <w:p w14:paraId="1D367C18" w14:textId="77777777" w:rsidR="00AF07E5" w:rsidRPr="00AF07E5" w:rsidRDefault="00AF07E5" w:rsidP="00AF07E5">
      <w:pPr>
        <w:pStyle w:val="RTNumberedSubheading"/>
      </w:pPr>
      <w:bookmarkStart w:id="24" w:name="_Toc472099367"/>
      <w:bookmarkStart w:id="25" w:name="_Toc482741428"/>
      <w:r w:rsidRPr="00AF07E5">
        <w:t>Punitive Drug Control Policies:</w:t>
      </w:r>
      <w:r w:rsidR="00C32F7C">
        <w:t xml:space="preserve"> An emphasis on criminal punishment</w:t>
      </w:r>
      <w:r w:rsidRPr="00AF07E5">
        <w:t xml:space="preserve"> over public health</w:t>
      </w:r>
      <w:bookmarkEnd w:id="24"/>
      <w:bookmarkEnd w:id="25"/>
    </w:p>
    <w:p w14:paraId="4E435FFD" w14:textId="651E9681" w:rsidR="00AF07E5" w:rsidRPr="00AF07E5" w:rsidRDefault="00AF07E5" w:rsidP="00AF07E5">
      <w:pPr>
        <w:pStyle w:val="RTBodyText"/>
        <w:rPr>
          <w:lang w:val="en-US"/>
        </w:rPr>
      </w:pPr>
      <w:r w:rsidRPr="00AF07E5">
        <w:rPr>
          <w:lang w:val="en-US"/>
        </w:rPr>
        <w:t xml:space="preserve">For over 50 years, international drug control policies have been based largely on a prohibitionist approach. The international community, concerned about the impact of drugs, has developed an international drug control regime that imposes on </w:t>
      </w:r>
      <w:r w:rsidR="00C72AD7">
        <w:rPr>
          <w:lang w:val="en-US"/>
        </w:rPr>
        <w:t>s</w:t>
      </w:r>
      <w:r w:rsidRPr="00AF07E5">
        <w:rPr>
          <w:lang w:val="en-US"/>
        </w:rPr>
        <w:t>tates the obligation to ban the non-medical and scientific use of certain substances primarily by way of using the criminal justice system and other crime control policies to eliminate their production, transport, sale and consumption.</w:t>
      </w:r>
      <w:r w:rsidRPr="00AF07E5">
        <w:rPr>
          <w:vertAlign w:val="superscript"/>
          <w:lang w:val="en-US"/>
        </w:rPr>
        <w:footnoteReference w:id="94"/>
      </w:r>
      <w:r w:rsidRPr="00AF07E5">
        <w:rPr>
          <w:lang w:val="en-US"/>
        </w:rPr>
        <w:t xml:space="preserve"> </w:t>
      </w:r>
    </w:p>
    <w:p w14:paraId="09C63A64" w14:textId="77777777" w:rsidR="00AF07E5" w:rsidRPr="00AF07E5" w:rsidRDefault="00AF07E5" w:rsidP="00AF07E5">
      <w:pPr>
        <w:pStyle w:val="RTBodyText"/>
        <w:rPr>
          <w:lang w:val="en-US"/>
        </w:rPr>
      </w:pPr>
      <w:r w:rsidRPr="00AF07E5">
        <w:rPr>
          <w:lang w:val="en-US"/>
        </w:rPr>
        <w:t>Amnesty International and other civil society organizations have for decades documented a wide range of human rights abuses and violations that arise from and/or are facilitated by the implementation of drug control policies and counter-narcotic operations worldwide. Despite the heavy reliance on criminal law, repressive policies and other measures implemented with the aim of prohibition, drug use has not decreased over the years while the associated risks and harms of using drugs have risen.</w:t>
      </w:r>
      <w:r w:rsidRPr="00AF07E5">
        <w:rPr>
          <w:vertAlign w:val="superscript"/>
          <w:lang w:val="en-US"/>
        </w:rPr>
        <w:footnoteReference w:id="95"/>
      </w:r>
      <w:r w:rsidRPr="00AF07E5">
        <w:rPr>
          <w:lang w:val="en-US"/>
        </w:rPr>
        <w:t xml:space="preserve"> Drug control policies have markedly different impacts on the lives of different populations. The impacts of punitive drug laws and policies on women, and particularly on pregnant women’s health and human rights, are being increasingly recognized by advocates and raised in human rights discussions at the international level.</w:t>
      </w:r>
      <w:r w:rsidRPr="00AF07E5">
        <w:rPr>
          <w:vertAlign w:val="superscript"/>
          <w:lang w:val="en-US"/>
        </w:rPr>
        <w:footnoteReference w:id="96"/>
      </w:r>
    </w:p>
    <w:p w14:paraId="14BABAC3" w14:textId="6180B2B2" w:rsidR="00AF07E5" w:rsidRPr="00AF07E5" w:rsidRDefault="00AF07E5" w:rsidP="00AF07E5">
      <w:pPr>
        <w:pStyle w:val="RTBodyText"/>
      </w:pPr>
      <w:r w:rsidRPr="00AF07E5">
        <w:t xml:space="preserve">Harsh criminal justice responses to drug use and dependence can have the effect of blaming individuals for their health status, and can shift attention away from the social determinants of health, and away from states’ obligations to protect the right to health. </w:t>
      </w:r>
      <w:r w:rsidR="000A400C">
        <w:t>O</w:t>
      </w:r>
      <w:r w:rsidRPr="00AF07E5">
        <w:t>ne prominent legal scholar notes:</w:t>
      </w:r>
    </w:p>
    <w:p w14:paraId="5A9B99AA" w14:textId="14D24B57" w:rsidR="00AF07E5" w:rsidRPr="00AF07E5" w:rsidRDefault="00AF07E5" w:rsidP="00AF07E5">
      <w:pPr>
        <w:pStyle w:val="RTSmallQuoteText"/>
      </w:pPr>
      <w:r w:rsidRPr="00AF07E5">
        <w:t xml:space="preserve">“By blaming individual women for conduct which is often not freely chosen, government avoids taking responsibility for its continuing failure to meaningfully address the reality that many poor and low income Americans lack access to </w:t>
      </w:r>
      <w:r w:rsidR="00CF7C14">
        <w:t>healthcare</w:t>
      </w:r>
      <w:r w:rsidRPr="00AF07E5">
        <w:t xml:space="preserve"> or acknowledge the special problems faced by women who are victims of domestic violence, suffering from mental illness, and/or addicted to drugs and alcohol. Effective health policy requires the provision of adequate </w:t>
      </w:r>
      <w:r w:rsidR="00CF7C14">
        <w:t>healthcare</w:t>
      </w:r>
      <w:r w:rsidRPr="00AF07E5">
        <w:t xml:space="preserve"> services for all, including </w:t>
      </w:r>
      <w:r w:rsidRPr="00AF07E5">
        <w:lastRenderedPageBreak/>
        <w:t xml:space="preserve">reproductive </w:t>
      </w:r>
      <w:r w:rsidR="00CF7C14">
        <w:t>healthcare</w:t>
      </w:r>
      <w:r w:rsidRPr="00AF07E5">
        <w:t xml:space="preserve"> across the life span and targeted services addressing our most vulnerable women and children.”</w:t>
      </w:r>
      <w:r w:rsidRPr="00AF07E5">
        <w:rPr>
          <w:vertAlign w:val="superscript"/>
        </w:rPr>
        <w:footnoteReference w:id="97"/>
      </w:r>
      <w:r w:rsidRPr="00AF07E5">
        <w:rPr>
          <w:vertAlign w:val="superscript"/>
        </w:rPr>
        <w:t xml:space="preserve"> </w:t>
      </w:r>
      <w:r w:rsidRPr="00AF07E5">
        <w:t xml:space="preserve"> </w:t>
      </w:r>
    </w:p>
    <w:tbl>
      <w:tblPr>
        <w:tblStyle w:val="RTTintedPullout"/>
        <w:tblW w:w="8278" w:type="dxa"/>
        <w:tblLook w:val="04A0" w:firstRow="1" w:lastRow="0" w:firstColumn="1" w:lastColumn="0" w:noHBand="0" w:noVBand="1"/>
      </w:tblPr>
      <w:tblGrid>
        <w:gridCol w:w="8278"/>
      </w:tblGrid>
      <w:tr w:rsidR="00C32F7C" w:rsidRPr="00C06C22" w14:paraId="12063194" w14:textId="77777777" w:rsidTr="00C32F7C">
        <w:trPr>
          <w:trHeight w:val="614"/>
        </w:trPr>
        <w:tc>
          <w:tcPr>
            <w:tcW w:w="8272" w:type="dxa"/>
          </w:tcPr>
          <w:p w14:paraId="1E62EBE5" w14:textId="77777777" w:rsidR="00C32F7C" w:rsidRPr="00C06C22" w:rsidRDefault="004E2AF9" w:rsidP="00C32F7C">
            <w:pPr>
              <w:pStyle w:val="RTSmallheadingCAPS"/>
              <w:rPr>
                <w:lang w:val="en-US"/>
              </w:rPr>
            </w:pPr>
            <w:r>
              <w:rPr>
                <w:lang w:val="en-US"/>
              </w:rPr>
              <w:t>drug courts</w:t>
            </w:r>
          </w:p>
          <w:p w14:paraId="54008190" w14:textId="77777777" w:rsidR="004E2AF9" w:rsidRPr="004E2AF9" w:rsidRDefault="004E2AF9" w:rsidP="004E2AF9">
            <w:pPr>
              <w:pStyle w:val="RTBodyText"/>
            </w:pPr>
            <w:r w:rsidRPr="004E2AF9">
              <w:t>While women do sometimes serve significant jail or prison sentences for drug use during pregnancy, a large number of these cases are adjudicated in drug treatment courts. These proceedings are not public, and each judge has a large degree of discretion in defining the terms of treatment within the court. This means that oftentimes, “one judge is overseeing the treatment decisions of a lot of very vulnerable women”</w:t>
            </w:r>
            <w:r w:rsidRPr="004E2AF9">
              <w:rPr>
                <w:vertAlign w:val="superscript"/>
              </w:rPr>
              <w:footnoteReference w:id="98"/>
            </w:r>
          </w:p>
          <w:p w14:paraId="32775531" w14:textId="77777777" w:rsidR="004E2AF9" w:rsidRPr="004E2AF9" w:rsidRDefault="004E2AF9" w:rsidP="004E2AF9">
            <w:pPr>
              <w:pStyle w:val="RTBodyText"/>
            </w:pPr>
            <w:r w:rsidRPr="004E2AF9">
              <w:t>Drug courts are intended to offer court-supervised treatment for drug dependence as an alternative to prison for certain drug-related offenses, thus in theory ensuring treatment for people within the criminal justice system and reducing rates of incarceration and overcrowding.</w:t>
            </w:r>
            <w:r w:rsidRPr="004E2AF9">
              <w:rPr>
                <w:vertAlign w:val="superscript"/>
              </w:rPr>
              <w:footnoteReference w:id="99"/>
            </w:r>
            <w:r w:rsidRPr="004E2AF9">
              <w:t xml:space="preserve"> Drug courts are sometimes referred to as a “community corrections” program, meaning that the program oversees offenders outside of jail or prison, but has legal authority to enforce sanctions.</w:t>
            </w:r>
            <w:r w:rsidRPr="004E2AF9">
              <w:rPr>
                <w:vertAlign w:val="superscript"/>
              </w:rPr>
              <w:footnoteReference w:id="100"/>
            </w:r>
            <w:r w:rsidRPr="004E2AF9">
              <w:t xml:space="preserve">  The basic assumption of this model is to use the judicial intervention as leverage for treatment and rehabilitation, through which drug dependence is seen as a health issue.</w:t>
            </w:r>
            <w:r w:rsidRPr="004E2AF9">
              <w:rPr>
                <w:vertAlign w:val="superscript"/>
              </w:rPr>
              <w:footnoteReference w:id="101"/>
            </w:r>
          </w:p>
          <w:p w14:paraId="270C1783" w14:textId="77777777" w:rsidR="004E2AF9" w:rsidRPr="004E2AF9" w:rsidRDefault="004E2AF9" w:rsidP="004E2AF9">
            <w:pPr>
              <w:pStyle w:val="RTBodyText"/>
            </w:pPr>
            <w:r w:rsidRPr="004E2AF9">
              <w:t>Drug courts are more common in the US than anywhere else in the world.</w:t>
            </w:r>
            <w:r w:rsidRPr="004E2AF9">
              <w:rPr>
                <w:vertAlign w:val="superscript"/>
              </w:rPr>
              <w:t xml:space="preserve"> </w:t>
            </w:r>
            <w:r w:rsidRPr="004E2AF9">
              <w:rPr>
                <w:vertAlign w:val="superscript"/>
              </w:rPr>
              <w:footnoteReference w:id="102"/>
            </w:r>
            <w:r w:rsidRPr="004E2AF9">
              <w:t xml:space="preserve"> These courts have been gaining popularity in the USA as a way to address the rising costs of incarceration for drug offenses, an overburdened jail and parole system, as well as an acknowledgment that people in the criminal justice system need treatment for drug dependence. Many counties also use the fines and fees obtained from drug court participants to fund the programs or make money for the department, and proudly present the cost savings as a benefit to taxpayers.</w:t>
            </w:r>
            <w:r w:rsidRPr="004E2AF9">
              <w:rPr>
                <w:vertAlign w:val="superscript"/>
              </w:rPr>
              <w:footnoteReference w:id="103"/>
            </w:r>
            <w:r w:rsidRPr="004E2AF9">
              <w:t xml:space="preserve"> </w:t>
            </w:r>
          </w:p>
          <w:p w14:paraId="15EEC6D9" w14:textId="77777777" w:rsidR="004E2AF9" w:rsidRPr="004E2AF9" w:rsidRDefault="004E2AF9" w:rsidP="004E2AF9">
            <w:pPr>
              <w:pStyle w:val="RTBodyText"/>
            </w:pPr>
            <w:r w:rsidRPr="004E2AF9">
              <w:t>Critics to this model have argued that drug courts often fail to acknowledge relapse as a normal part of an effort to cease the use of drugs, whereby those who “fail” in completing court-supervised treatment are treated as in contempt and sent back to court with a guilty plea already on their record that can result in a harsher sentence than if they had never been in the drug court.</w:t>
            </w:r>
            <w:r w:rsidRPr="004E2AF9">
              <w:rPr>
                <w:vertAlign w:val="superscript"/>
              </w:rPr>
              <w:footnoteReference w:id="104"/>
            </w:r>
            <w:r w:rsidRPr="004E2AF9">
              <w:t xml:space="preserve"> Drug courts have also been criticized for mandating medical treatment for any type of drug use, even if just occasional, which is not by itself a medical condition, without properly assessing the level of dependency.</w:t>
            </w:r>
            <w:r w:rsidRPr="004E2AF9">
              <w:rPr>
                <w:vertAlign w:val="superscript"/>
              </w:rPr>
              <w:footnoteReference w:id="105"/>
            </w:r>
            <w:r w:rsidRPr="004E2AF9">
              <w:t xml:space="preserve"> In the end, court-supervised treatment takes the form of punishment rather than of therapy.</w:t>
            </w:r>
            <w:r w:rsidRPr="004E2AF9">
              <w:rPr>
                <w:vertAlign w:val="superscript"/>
              </w:rPr>
              <w:footnoteReference w:id="106"/>
            </w:r>
          </w:p>
          <w:p w14:paraId="044F2689" w14:textId="77777777" w:rsidR="004E2AF9" w:rsidRPr="004E2AF9" w:rsidRDefault="004E2AF9" w:rsidP="004E2AF9">
            <w:pPr>
              <w:pStyle w:val="RTBodyText"/>
            </w:pPr>
            <w:r w:rsidRPr="004E2AF9">
              <w:t>Some advocates believe drug courts may also “widen the net” and capture a population in drug court that might not otherwise enter the criminal justice system.</w:t>
            </w:r>
            <w:r w:rsidRPr="004E2AF9">
              <w:rPr>
                <w:vertAlign w:val="superscript"/>
              </w:rPr>
              <w:footnoteReference w:id="107"/>
            </w:r>
            <w:r w:rsidRPr="004E2AF9">
              <w:t xml:space="preserve"> This “net-widening” effect may be particularly relevant for pregnancy crimes, as the number of prosecutions increases, but at the same time, many prosecutors would like to avoid putting pregnant women in jail. The availability of drug court programs may have the effect of enabling prosecutors to penalize larger numbers of women for drug use in pregnancy. </w:t>
            </w:r>
          </w:p>
          <w:p w14:paraId="6B8615FB" w14:textId="77777777" w:rsidR="00C32F7C" w:rsidRPr="00C06C22" w:rsidRDefault="00C32F7C" w:rsidP="00C32F7C">
            <w:pPr>
              <w:pStyle w:val="RTBodyText"/>
              <w:rPr>
                <w:lang w:val="en-US"/>
              </w:rPr>
            </w:pPr>
          </w:p>
        </w:tc>
      </w:tr>
    </w:tbl>
    <w:p w14:paraId="12A8A3C1" w14:textId="77777777" w:rsidR="003374CB" w:rsidRDefault="003374CB" w:rsidP="00AF07E5">
      <w:pPr>
        <w:pStyle w:val="RTBodyText"/>
        <w:rPr>
          <w:lang w:val="en-US"/>
        </w:rPr>
      </w:pPr>
    </w:p>
    <w:p w14:paraId="6A9EE44C" w14:textId="77777777" w:rsidR="003374CB" w:rsidRDefault="003374CB">
      <w:pPr>
        <w:rPr>
          <w:rFonts w:asciiTheme="minorHAnsi" w:hAnsiTheme="minorHAnsi"/>
          <w:sz w:val="18"/>
          <w:szCs w:val="24"/>
        </w:rPr>
      </w:pPr>
      <w:r>
        <w:br w:type="page"/>
      </w:r>
    </w:p>
    <w:p w14:paraId="6CA938DC" w14:textId="78BD58E1" w:rsidR="003374CB" w:rsidRDefault="003374CB" w:rsidP="003374CB">
      <w:pPr>
        <w:pStyle w:val="RTTitlenumbered"/>
      </w:pPr>
      <w:bookmarkStart w:id="26" w:name="_Toc482741429"/>
      <w:r>
        <w:lastRenderedPageBreak/>
        <w:t>tennessee</w:t>
      </w:r>
      <w:r w:rsidR="00B21B12">
        <w:t xml:space="preserve"> “fetal ass</w:t>
      </w:r>
      <w:r w:rsidR="004D456B">
        <w:t>A</w:t>
      </w:r>
      <w:r w:rsidR="00B21B12">
        <w:t>ult Law”</w:t>
      </w:r>
      <w:bookmarkEnd w:id="26"/>
    </w:p>
    <w:tbl>
      <w:tblPr>
        <w:tblStyle w:val="TableGrid"/>
        <w:tblW w:w="8278" w:type="dxa"/>
        <w:tblBorders>
          <w:top w:val="none" w:sz="0" w:space="0" w:color="auto"/>
          <w:left w:val="single" w:sz="48" w:space="0" w:color="000000" w:themeColor="text1"/>
          <w:bottom w:val="none" w:sz="0" w:space="0" w:color="auto"/>
          <w:right w:val="none" w:sz="0" w:space="0" w:color="auto"/>
          <w:insideH w:val="none" w:sz="0" w:space="0" w:color="auto"/>
          <w:insideV w:val="none" w:sz="0" w:space="0" w:color="auto"/>
        </w:tblBorders>
        <w:tblLayout w:type="fixed"/>
        <w:tblCellMar>
          <w:top w:w="113" w:type="dxa"/>
          <w:left w:w="227" w:type="dxa"/>
          <w:right w:w="0" w:type="dxa"/>
        </w:tblCellMar>
        <w:tblLook w:val="04A0" w:firstRow="1" w:lastRow="0" w:firstColumn="1" w:lastColumn="0" w:noHBand="0" w:noVBand="1"/>
      </w:tblPr>
      <w:tblGrid>
        <w:gridCol w:w="8278"/>
      </w:tblGrid>
      <w:tr w:rsidR="00BF2DC7" w:rsidRPr="00C06C22" w14:paraId="1FAF3294" w14:textId="77777777" w:rsidTr="00462C20">
        <w:tc>
          <w:tcPr>
            <w:tcW w:w="8278" w:type="dxa"/>
          </w:tcPr>
          <w:p w14:paraId="55D9CD8B" w14:textId="5B05E840" w:rsidR="00BF2DC7" w:rsidRPr="00C06C22" w:rsidRDefault="00BF2DC7" w:rsidP="00BF2DC7">
            <w:pPr>
              <w:pStyle w:val="RTQuoteText"/>
            </w:pPr>
            <w:r w:rsidRPr="00BF2DC7">
              <w:rPr>
                <w:lang w:val="en-US"/>
              </w:rPr>
              <w:t>“In a lot of spheres, addiction is seen as a health issue, as a disease. But now, if you have a woman who is pregnant, all of a sudde</w:t>
            </w:r>
            <w:r w:rsidR="003A264E">
              <w:rPr>
                <w:lang w:val="en-US"/>
              </w:rPr>
              <w:t>n she's a criminal.”</w:t>
            </w:r>
          </w:p>
        </w:tc>
      </w:tr>
      <w:tr w:rsidR="00BF2DC7" w:rsidRPr="00C06C22" w14:paraId="2AD0F900" w14:textId="77777777" w:rsidTr="00462C20">
        <w:tc>
          <w:tcPr>
            <w:tcW w:w="8278" w:type="dxa"/>
          </w:tcPr>
          <w:p w14:paraId="1F340C84" w14:textId="17C130E3" w:rsidR="00BF2DC7" w:rsidRPr="00C06C22" w:rsidRDefault="00BF2DC7" w:rsidP="00462C20">
            <w:pPr>
              <w:pStyle w:val="RTSourceText"/>
            </w:pPr>
            <w:r>
              <w:t>Allison Glass, State Director, Healthy and Free Tennessee, October 2015</w:t>
            </w:r>
          </w:p>
        </w:tc>
      </w:tr>
    </w:tbl>
    <w:p w14:paraId="2657674E" w14:textId="77777777" w:rsidR="00BF2DC7" w:rsidRDefault="00BF2DC7" w:rsidP="00BF2DC7">
      <w:pPr>
        <w:pStyle w:val="RTBodyText"/>
        <w:rPr>
          <w:lang w:eastAsia="en-GB"/>
        </w:rPr>
      </w:pPr>
    </w:p>
    <w:p w14:paraId="03357A87" w14:textId="63E88286" w:rsidR="00BF2DC7" w:rsidRPr="00BF2DC7" w:rsidRDefault="00BF2DC7" w:rsidP="00BF2DC7">
      <w:pPr>
        <w:pStyle w:val="RTBodyText"/>
        <w:rPr>
          <w:lang w:eastAsia="en-GB"/>
        </w:rPr>
      </w:pPr>
      <w:r w:rsidRPr="00BF2DC7">
        <w:rPr>
          <w:lang w:eastAsia="en-GB"/>
        </w:rPr>
        <w:t>From July 2014 until July 2016, Tennessee enacted a law specifically authorizing criminal assault charges against women who give birth to a child showing symptoms related to exposure to a narcotic drug if the drug was used illegally during pregnancy. The Tennessee General Assembly enacted Public Chapter 820 (“PC 820”), an amendment that expanded Section 39-13-107 of the Tennessee code,</w:t>
      </w:r>
      <w:r w:rsidRPr="00BF2DC7">
        <w:rPr>
          <w:vertAlign w:val="superscript"/>
          <w:lang w:eastAsia="en-GB"/>
        </w:rPr>
        <w:footnoteReference w:id="108"/>
      </w:r>
      <w:r w:rsidRPr="00BF2DC7">
        <w:rPr>
          <w:lang w:eastAsia="en-GB"/>
        </w:rPr>
        <w:t xml:space="preserve"> which includes </w:t>
      </w:r>
      <w:proofErr w:type="spellStart"/>
      <w:r w:rsidRPr="00BF2DC7">
        <w:rPr>
          <w:lang w:eastAsia="en-GB"/>
        </w:rPr>
        <w:t>fetuses</w:t>
      </w:r>
      <w:proofErr w:type="spellEnd"/>
      <w:r w:rsidRPr="00BF2DC7">
        <w:rPr>
          <w:lang w:eastAsia="en-GB"/>
        </w:rPr>
        <w:t xml:space="preserve"> within the legal definition of a “victim” of assault. This law is commonly known as a “</w:t>
      </w:r>
      <w:proofErr w:type="spellStart"/>
      <w:r w:rsidRPr="00BF2DC7">
        <w:rPr>
          <w:lang w:eastAsia="en-GB"/>
        </w:rPr>
        <w:t>fetal</w:t>
      </w:r>
      <w:proofErr w:type="spellEnd"/>
      <w:r w:rsidRPr="00BF2DC7">
        <w:rPr>
          <w:lang w:eastAsia="en-GB"/>
        </w:rPr>
        <w:t xml:space="preserve"> assault” law. The law allowed for a woman to be charged with misdemeanour simple assault if her child “is born addicted to or harmed by the narcotic drug and the addiction or harm is a result of her illegal use of a narcotic drug taken while pregnant”</w:t>
      </w:r>
      <w:r w:rsidR="00B92A6C">
        <w:rPr>
          <w:lang w:eastAsia="en-GB"/>
        </w:rPr>
        <w:t>,</w:t>
      </w:r>
      <w:r w:rsidRPr="00BF2DC7">
        <w:rPr>
          <w:lang w:eastAsia="en-GB"/>
        </w:rPr>
        <w:t xml:space="preserve"> and interpreted by prosecutors to permit charges for any unlawful “act” or “omission”</w:t>
      </w:r>
      <w:r w:rsidR="00B92A6C">
        <w:rPr>
          <w:lang w:eastAsia="en-GB"/>
        </w:rPr>
        <w:t>.</w:t>
      </w:r>
      <w:r w:rsidRPr="00BF2DC7">
        <w:rPr>
          <w:vertAlign w:val="superscript"/>
          <w:lang w:eastAsia="en-GB"/>
        </w:rPr>
        <w:t xml:space="preserve"> </w:t>
      </w:r>
      <w:r w:rsidRPr="00BF2DC7">
        <w:rPr>
          <w:vertAlign w:val="superscript"/>
          <w:lang w:eastAsia="en-GB"/>
        </w:rPr>
        <w:footnoteReference w:id="109"/>
      </w:r>
      <w:r w:rsidRPr="00BF2DC7">
        <w:rPr>
          <w:lang w:eastAsia="en-GB"/>
        </w:rPr>
        <w:t xml:space="preserve"> Notably, this law defines “a human embryo or </w:t>
      </w:r>
      <w:proofErr w:type="spellStart"/>
      <w:r w:rsidRPr="00BF2DC7">
        <w:rPr>
          <w:lang w:eastAsia="en-GB"/>
        </w:rPr>
        <w:t>fetus</w:t>
      </w:r>
      <w:proofErr w:type="spellEnd"/>
      <w:r w:rsidRPr="00BF2DC7">
        <w:rPr>
          <w:lang w:eastAsia="en-GB"/>
        </w:rPr>
        <w:t xml:space="preserve"> at any stage of gestation in utero” as the potential victim of an “assaultive offense”</w:t>
      </w:r>
      <w:r w:rsidR="00B92A6C">
        <w:rPr>
          <w:lang w:eastAsia="en-GB"/>
        </w:rPr>
        <w:t>.</w:t>
      </w:r>
      <w:r w:rsidRPr="00BF2DC7">
        <w:rPr>
          <w:vertAlign w:val="superscript"/>
          <w:lang w:eastAsia="en-GB"/>
        </w:rPr>
        <w:footnoteReference w:id="110"/>
      </w:r>
    </w:p>
    <w:p w14:paraId="35AA3548" w14:textId="569CF029" w:rsidR="00BF2DC7" w:rsidRPr="00BF2DC7" w:rsidRDefault="00BF2DC7" w:rsidP="00BF2DC7">
      <w:pPr>
        <w:pStyle w:val="RTBodyText"/>
        <w:rPr>
          <w:lang w:eastAsia="en-GB"/>
        </w:rPr>
      </w:pPr>
      <w:r w:rsidRPr="00BF2DC7">
        <w:rPr>
          <w:lang w:eastAsia="en-GB"/>
        </w:rPr>
        <w:lastRenderedPageBreak/>
        <w:t>The amendment to the “</w:t>
      </w:r>
      <w:proofErr w:type="spellStart"/>
      <w:r w:rsidRPr="00BF2DC7">
        <w:rPr>
          <w:lang w:eastAsia="en-GB"/>
        </w:rPr>
        <w:t>fetal</w:t>
      </w:r>
      <w:proofErr w:type="spellEnd"/>
      <w:r w:rsidRPr="00BF2DC7">
        <w:rPr>
          <w:lang w:eastAsia="en-GB"/>
        </w:rPr>
        <w:t xml:space="preserve"> assault” law expired </w:t>
      </w:r>
      <w:r w:rsidR="00B92A6C">
        <w:rPr>
          <w:lang w:eastAsia="en-GB"/>
        </w:rPr>
        <w:t xml:space="preserve">1 </w:t>
      </w:r>
      <w:r w:rsidRPr="00BF2DC7">
        <w:rPr>
          <w:lang w:eastAsia="en-GB"/>
        </w:rPr>
        <w:t>July 2016, after the Tennessee Criminal Justice Subcommittee defeated a bill that would have made the expanded law permanent. While the expansion that specifically criminalized drug use has expired, the “</w:t>
      </w:r>
      <w:proofErr w:type="spellStart"/>
      <w:r w:rsidRPr="00BF2DC7">
        <w:rPr>
          <w:lang w:eastAsia="en-GB"/>
        </w:rPr>
        <w:t>fetal</w:t>
      </w:r>
      <w:proofErr w:type="spellEnd"/>
      <w:r w:rsidRPr="00BF2DC7">
        <w:rPr>
          <w:lang w:eastAsia="en-GB"/>
        </w:rPr>
        <w:t xml:space="preserve"> assault” law is still in the Tennessee code, and may be amended again in the next legislative session. </w:t>
      </w:r>
    </w:p>
    <w:p w14:paraId="5DCAD363" w14:textId="77777777" w:rsidR="00BF2DC7" w:rsidRPr="00BF2DC7" w:rsidRDefault="00BF2DC7" w:rsidP="00BF2DC7">
      <w:pPr>
        <w:pStyle w:val="RTBodyText"/>
        <w:rPr>
          <w:lang w:eastAsia="en-GB"/>
        </w:rPr>
      </w:pPr>
      <w:r w:rsidRPr="00BF2DC7">
        <w:rPr>
          <w:lang w:eastAsia="en-GB"/>
        </w:rPr>
        <w:t>The NGO Healthy and Free Tennessee organized a coalition of health and drug treatment professionals, reproductive justice organizations and others including Amnesty International to advocate for the expiration of this law. Amnesty international researched this law while it was in place to document the impact on women’s human rights.</w:t>
      </w:r>
    </w:p>
    <w:p w14:paraId="72F9F3DE" w14:textId="1B3B9766" w:rsidR="00B21B12" w:rsidRDefault="00BF2DC7" w:rsidP="00BF2DC7">
      <w:pPr>
        <w:pStyle w:val="RTNumberedHeading"/>
      </w:pPr>
      <w:bookmarkStart w:id="27" w:name="_Toc482741430"/>
      <w:r w:rsidRPr="00BF2DC7">
        <w:t>TRACKING THE IMPACT OF THE LAW</w:t>
      </w:r>
      <w:bookmarkEnd w:id="27"/>
    </w:p>
    <w:p w14:paraId="500EBFAE" w14:textId="454B1174" w:rsidR="00BF2DC7" w:rsidRPr="00563978" w:rsidRDefault="00BF2DC7" w:rsidP="001F0D99">
      <w:pPr>
        <w:pStyle w:val="RTBodyText"/>
      </w:pPr>
      <w:r>
        <w:t xml:space="preserve">Amnesty International interviewed </w:t>
      </w:r>
      <w:r w:rsidRPr="00563978">
        <w:t>a range of attorneys, advocates</w:t>
      </w:r>
      <w:r>
        <w:t xml:space="preserve">, </w:t>
      </w:r>
      <w:r w:rsidR="00CF7C14">
        <w:t>healthcare</w:t>
      </w:r>
      <w:r>
        <w:t xml:space="preserve"> providers, health experts</w:t>
      </w:r>
      <w:r w:rsidRPr="00563978">
        <w:t xml:space="preserve"> and government officials </w:t>
      </w:r>
      <w:r>
        <w:t>to learn about the impact of “</w:t>
      </w:r>
      <w:proofErr w:type="spellStart"/>
      <w:r>
        <w:t>fetal</w:t>
      </w:r>
      <w:proofErr w:type="spellEnd"/>
      <w:r>
        <w:t xml:space="preserve"> assault” law throughout the state. One of the primary difficulties raised was that the state did not create a mechanism for tracking the number of arrests.</w:t>
      </w:r>
      <w:r w:rsidRPr="00DD37C6">
        <w:rPr>
          <w:rFonts w:ascii="Amnesty Trade Gothic" w:hAnsi="Amnesty Trade Gothic"/>
          <w:vertAlign w:val="superscript"/>
        </w:rPr>
        <w:footnoteReference w:id="111"/>
      </w:r>
      <w:r w:rsidR="00DD37C6">
        <w:rPr>
          <w:vertAlign w:val="superscript"/>
        </w:rPr>
        <w:t xml:space="preserve"> </w:t>
      </w:r>
      <w:r w:rsidRPr="00563978">
        <w:t>In addition to difficulties consolidating data, a drug treatment advocate suspect</w:t>
      </w:r>
      <w:r>
        <w:t>ed</w:t>
      </w:r>
      <w:r w:rsidRPr="00563978">
        <w:t xml:space="preserve"> that the government is not dedicating resources into collecting data because attention </w:t>
      </w:r>
      <w:r>
        <w:t>to the arrests would</w:t>
      </w:r>
      <w:r w:rsidRPr="00563978">
        <w:t xml:space="preserve"> dissuade women from seeking treatment.</w:t>
      </w:r>
      <w:r w:rsidRPr="00DD37C6">
        <w:rPr>
          <w:rFonts w:ascii="Amnesty Trade Gothic" w:hAnsi="Amnesty Trade Gothic"/>
          <w:vertAlign w:val="superscript"/>
        </w:rPr>
        <w:footnoteReference w:id="112"/>
      </w:r>
      <w:r w:rsidRPr="00563978">
        <w:t xml:space="preserve"> </w:t>
      </w:r>
      <w:r>
        <w:t>A physician who treats infants told Amnesty International:</w:t>
      </w:r>
      <w:r w:rsidRPr="00563978">
        <w:t xml:space="preserve"> “It’s hard to build a therapeutic relationship. The system breeds mistrust.”</w:t>
      </w:r>
      <w:r w:rsidRPr="00DD37C6">
        <w:rPr>
          <w:rFonts w:ascii="Amnesty Trade Gothic" w:hAnsi="Amnesty Trade Gothic"/>
          <w:vertAlign w:val="superscript"/>
        </w:rPr>
        <w:footnoteReference w:id="113"/>
      </w:r>
    </w:p>
    <w:p w14:paraId="60DC4EB3" w14:textId="7544CD27" w:rsidR="00BF2DC7" w:rsidRPr="00563978" w:rsidRDefault="00BF2DC7" w:rsidP="001F0D99">
      <w:pPr>
        <w:pStyle w:val="RTBodyText"/>
      </w:pPr>
      <w:r>
        <w:t>In April 2015, t</w:t>
      </w:r>
      <w:r w:rsidRPr="00563978">
        <w:t>he state released the results of a survey of District Attorney Generals about prosecutions in each county.</w:t>
      </w:r>
      <w:r w:rsidRPr="00DD37C6">
        <w:rPr>
          <w:rFonts w:ascii="Amnesty Trade Gothic" w:hAnsi="Amnesty Trade Gothic"/>
          <w:vertAlign w:val="superscript"/>
        </w:rPr>
        <w:footnoteReference w:id="114"/>
      </w:r>
      <w:r w:rsidRPr="00563978">
        <w:t xml:space="preserve"> The survey document</w:t>
      </w:r>
      <w:r>
        <w:t>ed</w:t>
      </w:r>
      <w:r w:rsidRPr="00563978">
        <w:t xml:space="preserve"> 28 arrests across the state</w:t>
      </w:r>
      <w:r>
        <w:t xml:space="preserve"> occurring between </w:t>
      </w:r>
      <w:r w:rsidR="006B15A1">
        <w:t xml:space="preserve">24 </w:t>
      </w:r>
      <w:r>
        <w:t xml:space="preserve">April 2014, the effective date of the legislation, and </w:t>
      </w:r>
      <w:r w:rsidR="006B15A1">
        <w:t xml:space="preserve">31 </w:t>
      </w:r>
      <w:r>
        <w:t>December 2014. During this time period, t</w:t>
      </w:r>
      <w:r w:rsidRPr="00563978">
        <w:t>he law was used to initiate prosecutions in ten out of the state’s thirty-one judicial districts, with prosecutions clustered in two different areas of the state; in Shelby County, where the city of Memphis is located, and in counties in East Tennessee.</w:t>
      </w:r>
      <w:r w:rsidRPr="00DD37C6">
        <w:rPr>
          <w:rFonts w:ascii="Amnesty Trade Gothic" w:hAnsi="Amnesty Trade Gothic"/>
          <w:vertAlign w:val="superscript"/>
        </w:rPr>
        <w:footnoteReference w:id="115"/>
      </w:r>
      <w:r w:rsidRPr="00563978">
        <w:t xml:space="preserve">  </w:t>
      </w:r>
    </w:p>
    <w:p w14:paraId="7EC416B8" w14:textId="0DFFBFA9" w:rsidR="00BF2DC7" w:rsidRPr="00BC275A" w:rsidRDefault="00BF2DC7" w:rsidP="001F0D99">
      <w:pPr>
        <w:pStyle w:val="RTBodyText"/>
      </w:pPr>
      <w:r w:rsidRPr="00563978">
        <w:t>After the passage of the law, advocates were immediately concerned that the law would be used disproportionatel</w:t>
      </w:r>
      <w:r w:rsidR="003A264E">
        <w:t>y against low</w:t>
      </w:r>
      <w:r w:rsidR="003D3B3C">
        <w:t>-</w:t>
      </w:r>
      <w:r w:rsidR="003A264E">
        <w:t>income</w:t>
      </w:r>
      <w:r w:rsidRPr="00563978">
        <w:t xml:space="preserve"> women </w:t>
      </w:r>
      <w:r w:rsidR="003A264E">
        <w:t xml:space="preserve">and women of </w:t>
      </w:r>
      <w:proofErr w:type="spellStart"/>
      <w:r w:rsidR="003A264E">
        <w:t>color</w:t>
      </w:r>
      <w:proofErr w:type="spellEnd"/>
      <w:r w:rsidR="003A264E">
        <w:t xml:space="preserve">, </w:t>
      </w:r>
      <w:r w:rsidR="003D3B3C">
        <w:t xml:space="preserve">as these </w:t>
      </w:r>
      <w:r w:rsidR="003A264E">
        <w:t>groups disproportionately</w:t>
      </w:r>
      <w:r w:rsidRPr="00563978">
        <w:t xml:space="preserve"> lack access to healthcare and </w:t>
      </w:r>
      <w:r w:rsidR="003A264E">
        <w:t>therefore experience</w:t>
      </w:r>
      <w:r w:rsidRPr="00563978">
        <w:t xml:space="preserve"> more pregnancy complications.</w:t>
      </w:r>
      <w:r w:rsidRPr="001F0D99">
        <w:rPr>
          <w:rFonts w:ascii="Amnesty Trade Gothic" w:hAnsi="Amnesty Trade Gothic"/>
          <w:vertAlign w:val="superscript"/>
        </w:rPr>
        <w:footnoteReference w:id="116"/>
      </w:r>
      <w:r w:rsidRPr="001F0D99">
        <w:rPr>
          <w:vertAlign w:val="superscript"/>
        </w:rPr>
        <w:t xml:space="preserve"> </w:t>
      </w:r>
    </w:p>
    <w:p w14:paraId="6CC08135" w14:textId="48D0DF2C" w:rsidR="00BF2DC7" w:rsidRDefault="003A264E" w:rsidP="00F154B5">
      <w:pPr>
        <w:pStyle w:val="RTNumberedSubheading"/>
      </w:pPr>
      <w:bookmarkStart w:id="28" w:name="_Toc482741431"/>
      <w:r w:rsidRPr="003A264E">
        <w:t>DISCRIMINATORY APPLICATION OF THE LAW</w:t>
      </w:r>
      <w:bookmarkEnd w:id="28"/>
    </w:p>
    <w:p w14:paraId="0F98A4EF" w14:textId="72775687" w:rsidR="003A264E" w:rsidRPr="00C7421E" w:rsidRDefault="003A264E" w:rsidP="001F0D99">
      <w:pPr>
        <w:pStyle w:val="RTBodyText"/>
        <w:rPr>
          <w:szCs w:val="18"/>
        </w:rPr>
      </w:pPr>
      <w:r>
        <w:t xml:space="preserve">Some prosecutors have pursued cases against pregnant women much more aggressively than others. The law has had a </w:t>
      </w:r>
      <w:r w:rsidRPr="00C7421E">
        <w:rPr>
          <w:szCs w:val="18"/>
        </w:rPr>
        <w:t xml:space="preserve">significant impact on </w:t>
      </w:r>
      <w:r w:rsidR="00B92A6C" w:rsidRPr="00C7421E">
        <w:rPr>
          <w:szCs w:val="18"/>
        </w:rPr>
        <w:t>the city of Memphis</w:t>
      </w:r>
      <w:r w:rsidR="00B92A6C">
        <w:rPr>
          <w:szCs w:val="18"/>
        </w:rPr>
        <w:t xml:space="preserve">, in </w:t>
      </w:r>
      <w:r w:rsidRPr="00C7421E">
        <w:rPr>
          <w:szCs w:val="18"/>
        </w:rPr>
        <w:t>Shelby County</w:t>
      </w:r>
      <w:r w:rsidR="00B92A6C">
        <w:rPr>
          <w:szCs w:val="18"/>
        </w:rPr>
        <w:t>.</w:t>
      </w:r>
    </w:p>
    <w:p w14:paraId="6DFC27E2" w14:textId="55116216" w:rsidR="003A264E" w:rsidRPr="00C7421E" w:rsidRDefault="00B92A6C" w:rsidP="001F0D99">
      <w:pPr>
        <w:pStyle w:val="RTBodyText"/>
      </w:pPr>
      <w:r>
        <w:t xml:space="preserve">Memphis’ </w:t>
      </w:r>
      <w:r w:rsidR="003A264E" w:rsidRPr="00C7421E">
        <w:t>populati</w:t>
      </w:r>
      <w:r w:rsidR="003A264E">
        <w:t xml:space="preserve">on is about 63% </w:t>
      </w:r>
      <w:r w:rsidR="003D3B3C">
        <w:t>b</w:t>
      </w:r>
      <w:r w:rsidR="003A264E">
        <w:t>lack</w:t>
      </w:r>
      <w:r w:rsidR="003A264E" w:rsidRPr="00C7421E">
        <w:t>, compared to 16% throughout the state of Tennessee</w:t>
      </w:r>
      <w:r w:rsidR="003D3B3C">
        <w:t>;</w:t>
      </w:r>
      <w:r w:rsidR="003A264E" w:rsidRPr="00DD37C6">
        <w:rPr>
          <w:rFonts w:ascii="Amnesty Trade Gothic" w:hAnsi="Amnesty Trade Gothic"/>
          <w:vertAlign w:val="superscript"/>
        </w:rPr>
        <w:footnoteReference w:id="117"/>
      </w:r>
      <w:r w:rsidR="003A264E" w:rsidRPr="00C7421E">
        <w:t xml:space="preserve"> about 30% of the city’s inhabitants live below the poverty line</w:t>
      </w:r>
      <w:r w:rsidR="003A264E" w:rsidRPr="00DD37C6">
        <w:rPr>
          <w:rFonts w:ascii="Amnesty Trade Gothic" w:hAnsi="Amnesty Trade Gothic"/>
          <w:vertAlign w:val="superscript"/>
        </w:rPr>
        <w:footnoteReference w:id="118"/>
      </w:r>
      <w:r w:rsidR="003A264E" w:rsidRPr="00C7421E">
        <w:t xml:space="preserve"> with a persistent high incidence o</w:t>
      </w:r>
      <w:r w:rsidR="00DD37C6">
        <w:t xml:space="preserve">f poverty among people of </w:t>
      </w:r>
      <w:proofErr w:type="spellStart"/>
      <w:r w:rsidR="00DD37C6">
        <w:t>color</w:t>
      </w:r>
      <w:proofErr w:type="spellEnd"/>
      <w:r w:rsidR="00DD37C6">
        <w:t>.</w:t>
      </w:r>
      <w:r w:rsidR="003A264E" w:rsidRPr="00DD37C6">
        <w:rPr>
          <w:rFonts w:ascii="Amnesty Trade Gothic" w:hAnsi="Amnesty Trade Gothic"/>
          <w:vertAlign w:val="superscript"/>
        </w:rPr>
        <w:footnoteReference w:id="119"/>
      </w:r>
      <w:r w:rsidR="003A264E" w:rsidRPr="00C7421E">
        <w:t xml:space="preserve"> These disparities in income and health have been </w:t>
      </w:r>
      <w:r w:rsidR="003A264E" w:rsidRPr="00393CC6">
        <w:t>perpetuated through</w:t>
      </w:r>
      <w:r w:rsidR="003A264E" w:rsidRPr="00C7421E">
        <w:t xml:space="preserve"> the </w:t>
      </w:r>
      <w:r w:rsidR="003A264E">
        <w:t xml:space="preserve">discriminatory </w:t>
      </w:r>
      <w:r w:rsidR="003A264E" w:rsidRPr="00C7421E">
        <w:t>allocation of economic resources.</w:t>
      </w:r>
      <w:r w:rsidR="003A264E" w:rsidRPr="00DD37C6">
        <w:rPr>
          <w:rFonts w:ascii="Amnesty Trade Gothic" w:hAnsi="Amnesty Trade Gothic"/>
          <w:vertAlign w:val="superscript"/>
        </w:rPr>
        <w:footnoteReference w:id="120"/>
      </w:r>
      <w:r w:rsidR="003A264E" w:rsidRPr="00C7421E">
        <w:t xml:space="preserve"> </w:t>
      </w:r>
    </w:p>
    <w:p w14:paraId="5948EAF3" w14:textId="6194F320" w:rsidR="003A264E" w:rsidRPr="003A264E" w:rsidRDefault="003A264E" w:rsidP="003A264E">
      <w:pPr>
        <w:pStyle w:val="RTBodyText"/>
        <w:rPr>
          <w:szCs w:val="18"/>
        </w:rPr>
      </w:pPr>
      <w:r w:rsidRPr="00C7421E">
        <w:rPr>
          <w:szCs w:val="18"/>
        </w:rPr>
        <w:t xml:space="preserve">Shelby County District Attorney Amy </w:t>
      </w:r>
      <w:proofErr w:type="spellStart"/>
      <w:r w:rsidRPr="00C7421E">
        <w:rPr>
          <w:szCs w:val="18"/>
        </w:rPr>
        <w:t>Weirich</w:t>
      </w:r>
      <w:proofErr w:type="spellEnd"/>
      <w:r w:rsidRPr="00C7421E">
        <w:rPr>
          <w:szCs w:val="18"/>
        </w:rPr>
        <w:t>, who drove the law’s passage, told reporters that the intent of the law was to wield a “velvet hammer of justice”</w:t>
      </w:r>
      <w:r w:rsidRPr="00DD37C6">
        <w:rPr>
          <w:rFonts w:ascii="Amnesty Trade Gothic" w:hAnsi="Amnesty Trade Gothic"/>
          <w:szCs w:val="18"/>
          <w:vertAlign w:val="superscript"/>
        </w:rPr>
        <w:footnoteReference w:id="121"/>
      </w:r>
      <w:r w:rsidRPr="00C7421E">
        <w:rPr>
          <w:szCs w:val="18"/>
        </w:rPr>
        <w:t xml:space="preserve"> to protect </w:t>
      </w:r>
      <w:r w:rsidR="003D3B3C">
        <w:rPr>
          <w:szCs w:val="18"/>
        </w:rPr>
        <w:t>children</w:t>
      </w:r>
      <w:r w:rsidRPr="00C7421E">
        <w:rPr>
          <w:szCs w:val="18"/>
        </w:rPr>
        <w:t xml:space="preserve"> from being born dependent on illegal</w:t>
      </w:r>
      <w:r w:rsidRPr="003A264E">
        <w:rPr>
          <w:szCs w:val="18"/>
        </w:rPr>
        <w:t xml:space="preserve"> drugs. However, the law reform simply expanded the criminal code and did not allocate any funding or provisions of any kind to expand drug treatment services or any other services for pregnant women or children.</w:t>
      </w:r>
      <w:r w:rsidRPr="003A264E">
        <w:rPr>
          <w:szCs w:val="18"/>
          <w:vertAlign w:val="superscript"/>
        </w:rPr>
        <w:footnoteReference w:id="122"/>
      </w:r>
      <w:r w:rsidRPr="003A264E">
        <w:rPr>
          <w:szCs w:val="18"/>
        </w:rPr>
        <w:t xml:space="preserve">  </w:t>
      </w:r>
    </w:p>
    <w:p w14:paraId="5D6A583F" w14:textId="7461C03D" w:rsidR="003A264E" w:rsidRPr="003A264E" w:rsidRDefault="003A264E" w:rsidP="003A264E">
      <w:pPr>
        <w:pStyle w:val="RTBodyText"/>
        <w:rPr>
          <w:b/>
          <w:szCs w:val="18"/>
        </w:rPr>
      </w:pPr>
      <w:r w:rsidRPr="003A264E">
        <w:rPr>
          <w:szCs w:val="18"/>
        </w:rPr>
        <w:lastRenderedPageBreak/>
        <w:t>A criminal justice organi</w:t>
      </w:r>
      <w:r w:rsidR="003D3B3C">
        <w:rPr>
          <w:szCs w:val="18"/>
        </w:rPr>
        <w:t>z</w:t>
      </w:r>
      <w:r w:rsidRPr="003A264E">
        <w:rPr>
          <w:szCs w:val="18"/>
        </w:rPr>
        <w:t>ation tracked the cases of 24 women arrested for “</w:t>
      </w:r>
      <w:proofErr w:type="spellStart"/>
      <w:r w:rsidRPr="003A264E">
        <w:rPr>
          <w:szCs w:val="18"/>
        </w:rPr>
        <w:t>fetal</w:t>
      </w:r>
      <w:proofErr w:type="spellEnd"/>
      <w:r w:rsidRPr="003A264E">
        <w:rPr>
          <w:szCs w:val="18"/>
        </w:rPr>
        <w:t xml:space="preserve"> assault” and found that nearly all qualified as indigent and were unable to afford their own legal representation.</w:t>
      </w:r>
      <w:r w:rsidRPr="003A264E">
        <w:rPr>
          <w:szCs w:val="18"/>
          <w:vertAlign w:val="superscript"/>
        </w:rPr>
        <w:footnoteReference w:id="123"/>
      </w:r>
      <w:r w:rsidRPr="003A264E">
        <w:rPr>
          <w:szCs w:val="18"/>
        </w:rPr>
        <w:t xml:space="preserve"> During the time when Amnesty international was investigating the impact of the “</w:t>
      </w:r>
      <w:proofErr w:type="spellStart"/>
      <w:r w:rsidRPr="003A264E">
        <w:rPr>
          <w:szCs w:val="18"/>
        </w:rPr>
        <w:t>fetal</w:t>
      </w:r>
      <w:proofErr w:type="spellEnd"/>
      <w:r w:rsidRPr="003A264E">
        <w:rPr>
          <w:szCs w:val="18"/>
        </w:rPr>
        <w:t xml:space="preserve"> assault” law, 13 of these women had already been sentenced to jail time after their initial arrest and more could be incarcerated over the course of “drug court,” the court-supervised treatment program some women are offered.</w:t>
      </w:r>
    </w:p>
    <w:p w14:paraId="674AB17D" w14:textId="77777777" w:rsidR="00DD37C6" w:rsidRDefault="003A264E" w:rsidP="003A264E">
      <w:pPr>
        <w:pStyle w:val="RTBodyText"/>
        <w:rPr>
          <w:szCs w:val="18"/>
        </w:rPr>
      </w:pPr>
      <w:r w:rsidRPr="003A264E">
        <w:rPr>
          <w:szCs w:val="18"/>
        </w:rPr>
        <w:t xml:space="preserve">According to criminal justice </w:t>
      </w:r>
      <w:proofErr w:type="gramStart"/>
      <w:r w:rsidRPr="003A264E">
        <w:rPr>
          <w:szCs w:val="18"/>
        </w:rPr>
        <w:t>reform advocate</w:t>
      </w:r>
      <w:proofErr w:type="gramEnd"/>
      <w:r w:rsidRPr="003A264E">
        <w:rPr>
          <w:szCs w:val="18"/>
        </w:rPr>
        <w:t xml:space="preserve"> Josh </w:t>
      </w:r>
      <w:proofErr w:type="spellStart"/>
      <w:r w:rsidRPr="003A264E">
        <w:rPr>
          <w:szCs w:val="18"/>
        </w:rPr>
        <w:t>Spickler</w:t>
      </w:r>
      <w:proofErr w:type="spellEnd"/>
      <w:r w:rsidRPr="003A264E">
        <w:rPr>
          <w:szCs w:val="18"/>
        </w:rPr>
        <w:t xml:space="preserve">: </w:t>
      </w:r>
    </w:p>
    <w:p w14:paraId="53C85F46" w14:textId="6AB76018" w:rsidR="003A264E" w:rsidRPr="003A264E" w:rsidRDefault="003A264E" w:rsidP="00DD37C6">
      <w:pPr>
        <w:pStyle w:val="RTSmallQuoteText"/>
      </w:pPr>
      <w:r w:rsidRPr="00DD37C6">
        <w:t>“</w:t>
      </w:r>
      <w:r w:rsidR="00DD37C6">
        <w:t xml:space="preserve">Drug Court is hard. Lots of women fail. </w:t>
      </w:r>
      <w:r w:rsidR="00DD37C6" w:rsidRPr="00DD37C6">
        <w:t>Of those who have been to jail after their initial arrest, four have gotten sentences of three to six</w:t>
      </w:r>
      <w:r w:rsidR="00DD37C6">
        <w:rPr>
          <w:szCs w:val="18"/>
        </w:rPr>
        <w:t xml:space="preserve"> months. This is a </w:t>
      </w:r>
      <w:r w:rsidRPr="003A264E">
        <w:t xml:space="preserve">massive sentence for a first offense </w:t>
      </w:r>
      <w:proofErr w:type="spellStart"/>
      <w:r w:rsidRPr="003A264E">
        <w:t>misdemeanor</w:t>
      </w:r>
      <w:proofErr w:type="spellEnd"/>
      <w:r w:rsidRPr="003A264E">
        <w:t xml:space="preserve"> assault… Especially considering, as a man, I could never ever be treated this way for an assault charge in Tennessee. </w:t>
      </w:r>
      <w:proofErr w:type="gramStart"/>
      <w:r w:rsidRPr="003A264E">
        <w:t>Ever.”</w:t>
      </w:r>
      <w:proofErr w:type="gramEnd"/>
      <w:r w:rsidRPr="003A264E">
        <w:rPr>
          <w:vertAlign w:val="superscript"/>
        </w:rPr>
        <w:footnoteReference w:id="124"/>
      </w:r>
    </w:p>
    <w:p w14:paraId="48FBD9F8" w14:textId="77777777" w:rsidR="003A264E" w:rsidRPr="003A264E" w:rsidRDefault="003A264E" w:rsidP="003A264E">
      <w:pPr>
        <w:pStyle w:val="RTBodyText"/>
        <w:rPr>
          <w:szCs w:val="18"/>
        </w:rPr>
      </w:pPr>
      <w:r w:rsidRPr="003A264E">
        <w:rPr>
          <w:szCs w:val="18"/>
        </w:rPr>
        <w:t xml:space="preserve">Despite the high rate of arrests, Shelby County and the surrounding areas have the lowest rates of </w:t>
      </w:r>
      <w:proofErr w:type="spellStart"/>
      <w:r w:rsidRPr="003A264E">
        <w:rPr>
          <w:szCs w:val="18"/>
        </w:rPr>
        <w:t>newborns</w:t>
      </w:r>
      <w:proofErr w:type="spellEnd"/>
      <w:r w:rsidRPr="003A264E">
        <w:rPr>
          <w:szCs w:val="18"/>
        </w:rPr>
        <w:t xml:space="preserve"> born exposed to drugs in the state.</w:t>
      </w:r>
      <w:r w:rsidRPr="003A264E">
        <w:rPr>
          <w:szCs w:val="18"/>
          <w:vertAlign w:val="superscript"/>
        </w:rPr>
        <w:footnoteReference w:id="125"/>
      </w:r>
      <w:r w:rsidRPr="003A264E">
        <w:rPr>
          <w:szCs w:val="18"/>
        </w:rPr>
        <w:t xml:space="preserve">  </w:t>
      </w:r>
    </w:p>
    <w:p w14:paraId="00E5DB42" w14:textId="0C00BC02" w:rsidR="003A264E" w:rsidRPr="003A264E" w:rsidRDefault="003A264E" w:rsidP="003A264E">
      <w:pPr>
        <w:pStyle w:val="RTBodyText"/>
        <w:rPr>
          <w:szCs w:val="18"/>
        </w:rPr>
      </w:pPr>
      <w:r w:rsidRPr="003A264E">
        <w:rPr>
          <w:szCs w:val="18"/>
        </w:rPr>
        <w:t xml:space="preserve">Based on the Department of Health Surveillance Summaries, </w:t>
      </w:r>
      <w:proofErr w:type="gramStart"/>
      <w:r w:rsidRPr="003A264E">
        <w:rPr>
          <w:szCs w:val="18"/>
        </w:rPr>
        <w:t>between April 2014,</w:t>
      </w:r>
      <w:proofErr w:type="gramEnd"/>
      <w:r w:rsidRPr="003A264E">
        <w:rPr>
          <w:szCs w:val="18"/>
        </w:rPr>
        <w:t xml:space="preserve"> when the “</w:t>
      </w:r>
      <w:proofErr w:type="spellStart"/>
      <w:r w:rsidRPr="003A264E">
        <w:rPr>
          <w:szCs w:val="18"/>
        </w:rPr>
        <w:t>fetal</w:t>
      </w:r>
      <w:proofErr w:type="spellEnd"/>
      <w:r w:rsidRPr="003A264E">
        <w:rPr>
          <w:szCs w:val="18"/>
        </w:rPr>
        <w:t xml:space="preserve"> assault” law went into effect</w:t>
      </w:r>
      <w:r w:rsidR="003D3B3C">
        <w:rPr>
          <w:szCs w:val="18"/>
        </w:rPr>
        <w:t>,</w:t>
      </w:r>
      <w:r w:rsidRPr="003A264E">
        <w:rPr>
          <w:szCs w:val="18"/>
        </w:rPr>
        <w:t xml:space="preserve"> </w:t>
      </w:r>
      <w:r w:rsidR="00B92A6C">
        <w:rPr>
          <w:szCs w:val="18"/>
        </w:rPr>
        <w:t xml:space="preserve">and </w:t>
      </w:r>
      <w:r w:rsidRPr="003A264E">
        <w:rPr>
          <w:szCs w:val="18"/>
        </w:rPr>
        <w:t>the end of November 2015, there were a total of 53 births of “drug exposed” babies in Shelby County.</w:t>
      </w:r>
      <w:r w:rsidRPr="003A264E">
        <w:rPr>
          <w:szCs w:val="18"/>
          <w:vertAlign w:val="superscript"/>
        </w:rPr>
        <w:footnoteReference w:id="126"/>
      </w:r>
      <w:r w:rsidR="00EF7605">
        <w:rPr>
          <w:szCs w:val="18"/>
        </w:rPr>
        <w:t xml:space="preserve"> </w:t>
      </w:r>
      <w:proofErr w:type="spellStart"/>
      <w:r w:rsidRPr="003A264E">
        <w:rPr>
          <w:szCs w:val="18"/>
        </w:rPr>
        <w:t>Spickler</w:t>
      </w:r>
      <w:proofErr w:type="spellEnd"/>
      <w:r w:rsidRPr="003A264E">
        <w:rPr>
          <w:szCs w:val="18"/>
        </w:rPr>
        <w:t xml:space="preserve"> found evidence of 24 arrests during the same time period.</w:t>
      </w:r>
      <w:r w:rsidRPr="003A264E">
        <w:rPr>
          <w:szCs w:val="18"/>
          <w:vertAlign w:val="superscript"/>
        </w:rPr>
        <w:footnoteReference w:id="127"/>
      </w:r>
      <w:r w:rsidRPr="003A264E">
        <w:rPr>
          <w:szCs w:val="18"/>
        </w:rPr>
        <w:t xml:space="preserve"> This indicates that women found giving birth to </w:t>
      </w:r>
      <w:r w:rsidR="00EF7605">
        <w:rPr>
          <w:szCs w:val="18"/>
        </w:rPr>
        <w:t>children</w:t>
      </w:r>
      <w:r w:rsidR="00EF7605" w:rsidRPr="003A264E">
        <w:rPr>
          <w:szCs w:val="18"/>
        </w:rPr>
        <w:t xml:space="preserve"> </w:t>
      </w:r>
      <w:r w:rsidRPr="003A264E">
        <w:rPr>
          <w:szCs w:val="18"/>
        </w:rPr>
        <w:t>with positive drug tests in Shelby County had a significant risk of arrest. By contrast, other Health Department regions list hundreds of drug dependent births and few to no arrests.</w:t>
      </w:r>
      <w:r w:rsidRPr="003A264E">
        <w:rPr>
          <w:szCs w:val="18"/>
          <w:vertAlign w:val="superscript"/>
        </w:rPr>
        <w:footnoteReference w:id="128"/>
      </w:r>
      <w:r w:rsidRPr="003A264E">
        <w:rPr>
          <w:szCs w:val="18"/>
        </w:rPr>
        <w:t xml:space="preserve"> </w:t>
      </w:r>
    </w:p>
    <w:p w14:paraId="0D19367E" w14:textId="030C45F1" w:rsidR="003A264E" w:rsidRPr="003A264E" w:rsidRDefault="003A264E" w:rsidP="003A264E">
      <w:pPr>
        <w:pStyle w:val="RTBodyText"/>
        <w:rPr>
          <w:szCs w:val="18"/>
        </w:rPr>
      </w:pPr>
      <w:proofErr w:type="spellStart"/>
      <w:r w:rsidRPr="003A264E">
        <w:rPr>
          <w:szCs w:val="18"/>
        </w:rPr>
        <w:t>Cherisse</w:t>
      </w:r>
      <w:proofErr w:type="spellEnd"/>
      <w:r w:rsidRPr="003A264E">
        <w:rPr>
          <w:szCs w:val="18"/>
        </w:rPr>
        <w:t xml:space="preserve"> </w:t>
      </w:r>
      <w:r>
        <w:rPr>
          <w:szCs w:val="18"/>
        </w:rPr>
        <w:t xml:space="preserve">Scott, founder of </w:t>
      </w:r>
      <w:proofErr w:type="spellStart"/>
      <w:r>
        <w:rPr>
          <w:szCs w:val="18"/>
        </w:rPr>
        <w:t>SisterReach</w:t>
      </w:r>
      <w:proofErr w:type="spellEnd"/>
      <w:r>
        <w:rPr>
          <w:szCs w:val="18"/>
        </w:rPr>
        <w:t>, a</w:t>
      </w:r>
      <w:r w:rsidRPr="003A264E">
        <w:rPr>
          <w:szCs w:val="18"/>
        </w:rPr>
        <w:t xml:space="preserve"> reproductive justice organization based in Memphis that advocates on behalf of women and girls of </w:t>
      </w:r>
      <w:proofErr w:type="spellStart"/>
      <w:r w:rsidRPr="003A264E">
        <w:rPr>
          <w:szCs w:val="18"/>
        </w:rPr>
        <w:t>col</w:t>
      </w:r>
      <w:r>
        <w:rPr>
          <w:szCs w:val="18"/>
        </w:rPr>
        <w:t>or</w:t>
      </w:r>
      <w:proofErr w:type="spellEnd"/>
      <w:r>
        <w:rPr>
          <w:szCs w:val="18"/>
        </w:rPr>
        <w:t>, poor women, and rural women,</w:t>
      </w:r>
      <w:r w:rsidRPr="003A264E">
        <w:rPr>
          <w:szCs w:val="18"/>
        </w:rPr>
        <w:t xml:space="preserve"> told Amnesty International that: “We’re talking about poor women who do not have the resources to navigate the court system and to have the proper representation for </w:t>
      </w:r>
      <w:proofErr w:type="gramStart"/>
      <w:r w:rsidRPr="003A264E">
        <w:rPr>
          <w:szCs w:val="18"/>
        </w:rPr>
        <w:t>themselves</w:t>
      </w:r>
      <w:proofErr w:type="gramEnd"/>
      <w:r w:rsidRPr="003A264E">
        <w:rPr>
          <w:szCs w:val="18"/>
        </w:rPr>
        <w:t>.”</w:t>
      </w:r>
      <w:r w:rsidRPr="003A264E">
        <w:rPr>
          <w:szCs w:val="18"/>
          <w:vertAlign w:val="superscript"/>
        </w:rPr>
        <w:footnoteReference w:id="129"/>
      </w:r>
      <w:r w:rsidRPr="003A264E">
        <w:rPr>
          <w:szCs w:val="18"/>
        </w:rPr>
        <w:t xml:space="preserve">  </w:t>
      </w:r>
    </w:p>
    <w:p w14:paraId="719C63C9" w14:textId="5DEEA923" w:rsidR="00350286" w:rsidRDefault="003A264E" w:rsidP="003A264E">
      <w:pPr>
        <w:pStyle w:val="RTBodyText"/>
        <w:rPr>
          <w:szCs w:val="18"/>
          <w:lang w:val="en-US"/>
        </w:rPr>
      </w:pPr>
      <w:r w:rsidRPr="003A264E">
        <w:rPr>
          <w:szCs w:val="18"/>
          <w:lang w:val="en-US"/>
        </w:rPr>
        <w:t>Scott had spoken with the first woman arrested in Memphis under the “fetal assault” law. She told Amnesty International that the woman was turned away from detoxification facilities several times due to her pregnancy and tried unsuccessfully to detox on her own. This woman ultimately gave birth in a hospital, left her newborn and went into hiding to evade arrest.</w:t>
      </w:r>
      <w:r w:rsidRPr="003A264E">
        <w:rPr>
          <w:szCs w:val="18"/>
          <w:vertAlign w:val="superscript"/>
          <w:lang w:val="en-US"/>
        </w:rPr>
        <w:footnoteReference w:id="130"/>
      </w:r>
      <w:r w:rsidRPr="003A264E">
        <w:rPr>
          <w:szCs w:val="18"/>
          <w:lang w:val="en-US"/>
        </w:rPr>
        <w:t xml:space="preserve"> Scott told Amnesty International that without the drug treatment services, counseling, job training, housing and other support needed to help women recover, the law captures a new population of women within the criminal justice system.</w:t>
      </w:r>
      <w:r w:rsidRPr="003A264E">
        <w:rPr>
          <w:szCs w:val="18"/>
          <w:vertAlign w:val="superscript"/>
          <w:lang w:val="en-US"/>
        </w:rPr>
        <w:footnoteReference w:id="131"/>
      </w:r>
    </w:p>
    <w:tbl>
      <w:tblPr>
        <w:tblStyle w:val="TableGrid"/>
        <w:tblW w:w="8278" w:type="dxa"/>
        <w:tblBorders>
          <w:top w:val="none" w:sz="0" w:space="0" w:color="auto"/>
          <w:left w:val="single" w:sz="48" w:space="0" w:color="000000" w:themeColor="text1"/>
          <w:bottom w:val="none" w:sz="0" w:space="0" w:color="auto"/>
          <w:right w:val="none" w:sz="0" w:space="0" w:color="auto"/>
          <w:insideH w:val="none" w:sz="0" w:space="0" w:color="auto"/>
          <w:insideV w:val="none" w:sz="0" w:space="0" w:color="auto"/>
        </w:tblBorders>
        <w:tblLayout w:type="fixed"/>
        <w:tblCellMar>
          <w:top w:w="113" w:type="dxa"/>
          <w:left w:w="227" w:type="dxa"/>
          <w:right w:w="0" w:type="dxa"/>
        </w:tblCellMar>
        <w:tblLook w:val="04A0" w:firstRow="1" w:lastRow="0" w:firstColumn="1" w:lastColumn="0" w:noHBand="0" w:noVBand="1"/>
      </w:tblPr>
      <w:tblGrid>
        <w:gridCol w:w="8278"/>
      </w:tblGrid>
      <w:tr w:rsidR="00350286" w:rsidRPr="00C06C22" w14:paraId="611CC5CC" w14:textId="77777777" w:rsidTr="00462C20">
        <w:tc>
          <w:tcPr>
            <w:tcW w:w="8278" w:type="dxa"/>
          </w:tcPr>
          <w:p w14:paraId="50F84FDE" w14:textId="71BDA0D8" w:rsidR="00350286" w:rsidRPr="00C06C22" w:rsidRDefault="00350286" w:rsidP="00350286">
            <w:pPr>
              <w:pStyle w:val="RTQuoteText"/>
            </w:pPr>
            <w:r w:rsidRPr="00350286">
              <w:rPr>
                <w:szCs w:val="18"/>
                <w:lang w:val="en-US"/>
              </w:rPr>
              <w:t xml:space="preserve">“We’re talking about poor women who do not have the resources to navigate the court system or child protection services. We’re also talking about women, particularly women of color affected by this law, who were already mothers and have no way of maintaining the life of their families while participating in this punitively driven program. Poor women will not have resources for proper representation. So if you are poor and struggle with addiction in Tennessee, you lose </w:t>
            </w:r>
            <w:r w:rsidRPr="00350286">
              <w:rPr>
                <w:szCs w:val="18"/>
                <w:lang w:val="en-US"/>
              </w:rPr>
              <w:lastRenderedPageBreak/>
              <w:t>everything with no sound plan to ever get your life back. That’s what this law has done to Tennessee mothers and families</w:t>
            </w:r>
            <w:r>
              <w:rPr>
                <w:szCs w:val="18"/>
                <w:lang w:val="en-US"/>
              </w:rPr>
              <w:t>.”</w:t>
            </w:r>
            <w:r w:rsidRPr="00C06C22">
              <w:t xml:space="preserve"> </w:t>
            </w:r>
          </w:p>
        </w:tc>
      </w:tr>
      <w:tr w:rsidR="00350286" w:rsidRPr="00C06C22" w14:paraId="6678CA13" w14:textId="77777777" w:rsidTr="00462C20">
        <w:tc>
          <w:tcPr>
            <w:tcW w:w="8278" w:type="dxa"/>
          </w:tcPr>
          <w:p w14:paraId="27DD0E42" w14:textId="4A81ED52" w:rsidR="00350286" w:rsidRPr="00C06C22" w:rsidRDefault="00350286" w:rsidP="00462C20">
            <w:pPr>
              <w:pStyle w:val="RTSourceText"/>
            </w:pPr>
            <w:proofErr w:type="spellStart"/>
            <w:r>
              <w:lastRenderedPageBreak/>
              <w:t>Cherisse</w:t>
            </w:r>
            <w:proofErr w:type="spellEnd"/>
            <w:r>
              <w:t xml:space="preserve"> A. Scott, Founder and CEO, </w:t>
            </w:r>
            <w:proofErr w:type="spellStart"/>
            <w:r>
              <w:t>SisterReach</w:t>
            </w:r>
            <w:proofErr w:type="spellEnd"/>
            <w:r>
              <w:t>, Memphis, TN</w:t>
            </w:r>
          </w:p>
        </w:tc>
      </w:tr>
    </w:tbl>
    <w:p w14:paraId="50CD4405" w14:textId="4123495C" w:rsidR="003A264E" w:rsidRDefault="003A264E" w:rsidP="003A264E">
      <w:pPr>
        <w:pStyle w:val="RTNumberedHeading"/>
      </w:pPr>
      <w:bookmarkStart w:id="29" w:name="_Toc482741432"/>
      <w:r w:rsidRPr="003A264E">
        <w:t>LACK OF ACCESS TO DRUG TREATMENT</w:t>
      </w:r>
      <w:bookmarkEnd w:id="29"/>
    </w:p>
    <w:p w14:paraId="0E9193B8" w14:textId="76BA148F" w:rsidR="003A264E" w:rsidRPr="006448CF" w:rsidRDefault="003A264E" w:rsidP="001F0D99">
      <w:pPr>
        <w:pStyle w:val="RTBodyText"/>
      </w:pPr>
      <w:r w:rsidRPr="006448CF">
        <w:t>East Tennessee reports the highest rates of opioid dependence and infants born exposed to opiates in Tennessee.</w:t>
      </w:r>
      <w:r w:rsidRPr="00E7633A">
        <w:rPr>
          <w:vertAlign w:val="superscript"/>
        </w:rPr>
        <w:footnoteReference w:id="132"/>
      </w:r>
      <w:r w:rsidRPr="006448CF">
        <w:t xml:space="preserve"> However, due to the lack of drug treatment facilities, and in particular, licensed </w:t>
      </w:r>
      <w:r>
        <w:t>medication-assisted treatment</w:t>
      </w:r>
      <w:r w:rsidRPr="006448CF">
        <w:t xml:space="preserve"> providers, patients must travel </w:t>
      </w:r>
      <w:r w:rsidR="00A2146F">
        <w:t xml:space="preserve">long distances </w:t>
      </w:r>
      <w:r w:rsidRPr="006448CF">
        <w:t>to have access to such treatment.</w:t>
      </w:r>
      <w:r w:rsidRPr="00E7633A">
        <w:rPr>
          <w:vertAlign w:val="superscript"/>
        </w:rPr>
        <w:footnoteReference w:id="133"/>
      </w:r>
      <w:r w:rsidRPr="00E7633A">
        <w:rPr>
          <w:vertAlign w:val="superscript"/>
        </w:rPr>
        <w:t xml:space="preserve"> </w:t>
      </w:r>
      <w:r w:rsidRPr="006448CF">
        <w:t xml:space="preserve">The challenges of finding treatment and the financial burdens of overcoming an assault charge are particularly acute for women who lack financial resources.  </w:t>
      </w:r>
    </w:p>
    <w:p w14:paraId="4DD3B405" w14:textId="18610E0D" w:rsidR="007A684B" w:rsidRPr="007A684B" w:rsidRDefault="003A264E" w:rsidP="001F0D99">
      <w:pPr>
        <w:pStyle w:val="RTBodyText"/>
      </w:pPr>
      <w:r w:rsidRPr="006448CF">
        <w:t>Republican state Senator Mike Bell who represents the 9</w:t>
      </w:r>
      <w:r w:rsidRPr="006448CF">
        <w:rPr>
          <w:vertAlign w:val="superscript"/>
        </w:rPr>
        <w:t>th</w:t>
      </w:r>
      <w:r w:rsidRPr="006448CF">
        <w:t xml:space="preserve"> District in the eastern part of th</w:t>
      </w:r>
      <w:r>
        <w:t xml:space="preserve">e state, told the press he was </w:t>
      </w:r>
      <w:r w:rsidRPr="006448CF">
        <w:t xml:space="preserve">against the law </w:t>
      </w:r>
      <w:r w:rsidR="00A2146F">
        <w:t>saying:</w:t>
      </w:r>
      <w:r w:rsidR="00312B00">
        <w:t xml:space="preserve"> </w:t>
      </w:r>
      <w:r w:rsidRPr="006448CF">
        <w:t xml:space="preserve">“There’s no treatment facility for these women there, and it would be a substantial drive for a woman caught in one of these situations to go to an approved treatment facility. </w:t>
      </w:r>
      <w:r w:rsidR="007A684B" w:rsidRPr="007A684B">
        <w:t>Looking at the map of the state, there are several areas where this is going to be a problem.”</w:t>
      </w:r>
      <w:r w:rsidR="007A684B" w:rsidRPr="007A684B">
        <w:rPr>
          <w:vertAlign w:val="superscript"/>
        </w:rPr>
        <w:footnoteReference w:id="134"/>
      </w:r>
      <w:r w:rsidR="007A684B" w:rsidRPr="007A684B">
        <w:t xml:space="preserve"> Bell’s statement acknowledged that lack of access to drug treatment is a problem in parts of the state and in the absence of </w:t>
      </w:r>
      <w:proofErr w:type="gramStart"/>
      <w:r w:rsidR="007A684B" w:rsidRPr="007A684B">
        <w:t>treatment,</w:t>
      </w:r>
      <w:proofErr w:type="gramEnd"/>
      <w:r w:rsidR="007A684B" w:rsidRPr="007A684B">
        <w:t xml:space="preserve"> criminalization may not be an effective response. </w:t>
      </w:r>
    </w:p>
    <w:p w14:paraId="6A8912C8" w14:textId="03BD961C" w:rsidR="007A684B" w:rsidRDefault="007A684B" w:rsidP="001F0D99">
      <w:pPr>
        <w:pStyle w:val="RTBodyText"/>
      </w:pPr>
      <w:r w:rsidRPr="007A684B">
        <w:t>Only two of Tennessee’s 177 drug treatment facilities provide prenatal care on site and allow older children to stay with their mothers, and only 19 provide any care for pregnant women.</w:t>
      </w:r>
      <w:r w:rsidRPr="007A684B">
        <w:rPr>
          <w:vertAlign w:val="superscript"/>
        </w:rPr>
        <w:footnoteReference w:id="135"/>
      </w:r>
      <w:r w:rsidRPr="007A684B">
        <w:t xml:space="preserve"> </w:t>
      </w:r>
      <w:r w:rsidR="00EC36EB">
        <w:t>The clinical director of a treatment facility in Knoxville, Tennessee</w:t>
      </w:r>
      <w:r w:rsidR="00A2146F">
        <w:t>,</w:t>
      </w:r>
      <w:r w:rsidR="00EC36EB">
        <w:t xml:space="preserve"> told </w:t>
      </w:r>
      <w:r w:rsidR="00A2146F">
        <w:t>Amnesty International</w:t>
      </w:r>
      <w:r w:rsidR="00EC36EB">
        <w:t>:</w:t>
      </w:r>
    </w:p>
    <w:p w14:paraId="2EF5BB1C" w14:textId="5BDCFA0D" w:rsidR="007A684B" w:rsidRDefault="007A684B" w:rsidP="007A684B">
      <w:pPr>
        <w:pStyle w:val="RTSmallQuoteText"/>
      </w:pPr>
      <w:r w:rsidRPr="007A684B">
        <w:t xml:space="preserve">“I've been in this field for over 20 years. I've always been trying to get people into treatment. It's not as simple as when someone is </w:t>
      </w:r>
      <w:proofErr w:type="gramStart"/>
      <w:r w:rsidRPr="007A684B">
        <w:t>willing,</w:t>
      </w:r>
      <w:proofErr w:type="gramEnd"/>
      <w:r w:rsidRPr="007A684B">
        <w:t xml:space="preserve"> they just call and then get in. There's always going to be a pushback from the insurance. There’s a million ways to get rejected from services.”</w:t>
      </w:r>
      <w:r w:rsidR="00EC36EB">
        <w:rPr>
          <w:rStyle w:val="FootnoteReference"/>
        </w:rPr>
        <w:footnoteReference w:id="136"/>
      </w:r>
    </w:p>
    <w:p w14:paraId="2417FA43" w14:textId="7272BC34" w:rsidR="007A684B" w:rsidRPr="007A684B" w:rsidRDefault="007A684B" w:rsidP="001F0D99">
      <w:pPr>
        <w:pStyle w:val="RTBodyText"/>
      </w:pPr>
      <w:r w:rsidRPr="007A684B">
        <w:t xml:space="preserve">The American College of Obstetricians and </w:t>
      </w:r>
      <w:proofErr w:type="spellStart"/>
      <w:r w:rsidRPr="007A684B">
        <w:t>Gynecologists</w:t>
      </w:r>
      <w:proofErr w:type="spellEnd"/>
      <w:r w:rsidRPr="007A684B">
        <w:t xml:space="preserve"> (ACOG) recommends methadone maintenance treatment as the “standard of care” for pregnant women using opiates.</w:t>
      </w:r>
      <w:r w:rsidRPr="007A684B">
        <w:rPr>
          <w:vertAlign w:val="superscript"/>
        </w:rPr>
        <w:footnoteReference w:id="137"/>
      </w:r>
      <w:r w:rsidRPr="007A684B">
        <w:t xml:space="preserve"> The US government Substance Abuse and Mental Health Services Administration (SAMHSA) also recommends this treatment to reduce maternal and </w:t>
      </w:r>
      <w:proofErr w:type="spellStart"/>
      <w:r w:rsidRPr="007A684B">
        <w:t>fetal</w:t>
      </w:r>
      <w:proofErr w:type="spellEnd"/>
      <w:r w:rsidRPr="007A684B">
        <w:t xml:space="preserve"> complications.</w:t>
      </w:r>
      <w:r w:rsidRPr="007A684B">
        <w:rPr>
          <w:vertAlign w:val="superscript"/>
        </w:rPr>
        <w:footnoteReference w:id="138"/>
      </w:r>
      <w:r w:rsidRPr="007A684B">
        <w:t xml:space="preserve"> However, there are only 12 licensed methadone treatment </w:t>
      </w:r>
      <w:proofErr w:type="spellStart"/>
      <w:r w:rsidRPr="007A684B">
        <w:t>centers</w:t>
      </w:r>
      <w:proofErr w:type="spellEnd"/>
      <w:r w:rsidRPr="007A684B">
        <w:t xml:space="preserve"> throughout Tennessee. Patients must drive to the </w:t>
      </w:r>
      <w:proofErr w:type="spellStart"/>
      <w:r w:rsidRPr="007A684B">
        <w:t>centers</w:t>
      </w:r>
      <w:proofErr w:type="spellEnd"/>
      <w:r w:rsidRPr="007A684B">
        <w:t xml:space="preserve"> on a daily basis to receive medication, </w:t>
      </w:r>
      <w:proofErr w:type="spellStart"/>
      <w:r w:rsidRPr="007A684B">
        <w:t>counseling</w:t>
      </w:r>
      <w:proofErr w:type="spellEnd"/>
      <w:r w:rsidRPr="007A684B">
        <w:t xml:space="preserve"> and other services. In </w:t>
      </w:r>
      <w:r w:rsidR="00312B00">
        <w:t>East</w:t>
      </w:r>
      <w:r w:rsidRPr="007A684B">
        <w:t xml:space="preserve"> Tennessee, this can mean “traveling two hours each way every day.”</w:t>
      </w:r>
      <w:r w:rsidRPr="007A684B">
        <w:rPr>
          <w:vertAlign w:val="superscript"/>
        </w:rPr>
        <w:footnoteReference w:id="139"/>
      </w:r>
      <w:r w:rsidRPr="007A684B">
        <w:t xml:space="preserve">  </w:t>
      </w:r>
    </w:p>
    <w:p w14:paraId="7452D376" w14:textId="354E80A8" w:rsidR="007A684B" w:rsidRPr="007A684B" w:rsidRDefault="007A684B" w:rsidP="001F0D99">
      <w:pPr>
        <w:pStyle w:val="RTBodyText"/>
      </w:pPr>
      <w:r w:rsidRPr="007A684B">
        <w:t xml:space="preserve">In addition to the lack of treatment </w:t>
      </w:r>
      <w:proofErr w:type="spellStart"/>
      <w:r w:rsidRPr="007A684B">
        <w:t>centers</w:t>
      </w:r>
      <w:proofErr w:type="spellEnd"/>
      <w:r w:rsidRPr="007A684B">
        <w:t xml:space="preserve">, cost for treatment is a significant problem. </w:t>
      </w:r>
      <w:proofErr w:type="spellStart"/>
      <w:r w:rsidRPr="007A684B">
        <w:t>TennCare</w:t>
      </w:r>
      <w:proofErr w:type="spellEnd"/>
      <w:r w:rsidRPr="007A684B">
        <w:t xml:space="preserve">, the state-funded insurance program for people on low incomes, does not cover any of the costs of methadone treatment. Rather, these expenses must be borne out-of-pocket, at a price of approximately </w:t>
      </w:r>
      <w:r w:rsidR="00A2146F">
        <w:t>US</w:t>
      </w:r>
      <w:r w:rsidRPr="007A684B">
        <w:t>$4,500 per year.</w:t>
      </w:r>
      <w:r w:rsidRPr="007A684B">
        <w:rPr>
          <w:vertAlign w:val="superscript"/>
        </w:rPr>
        <w:footnoteReference w:id="140"/>
      </w:r>
      <w:r w:rsidRPr="007A684B">
        <w:t xml:space="preserve"> Many </w:t>
      </w:r>
      <w:r w:rsidRPr="007A684B">
        <w:lastRenderedPageBreak/>
        <w:t xml:space="preserve">women are simply unable to pay and left without treatment as a result. Brittany, who was charged under the law, told Amnesty International that after her arrest she tried to get </w:t>
      </w:r>
      <w:r w:rsidR="00EC36EB">
        <w:t>into treatment for three months:</w:t>
      </w:r>
      <w:r w:rsidRPr="007A684B">
        <w:t xml:space="preserve"> </w:t>
      </w:r>
    </w:p>
    <w:p w14:paraId="74D15A50" w14:textId="74F27CBE" w:rsidR="007A684B" w:rsidRPr="007A684B" w:rsidRDefault="007A684B" w:rsidP="007A684B">
      <w:pPr>
        <w:pStyle w:val="RTSmallQuoteText"/>
      </w:pPr>
      <w:r w:rsidRPr="007A684B">
        <w:t xml:space="preserve">“Nobody would take my insurance. I kept getting decline letters. </w:t>
      </w:r>
      <w:proofErr w:type="spellStart"/>
      <w:r w:rsidRPr="007A684B">
        <w:t>TennCare</w:t>
      </w:r>
      <w:proofErr w:type="spellEnd"/>
      <w:r w:rsidRPr="007A684B">
        <w:t xml:space="preserve"> would send me letters saying they would let me go and pay out-of-network [to a doctor outside of the insurance plan], then they could call back and say no. I was kind of thrown away at the wayside.”</w:t>
      </w:r>
      <w:r w:rsidR="00EC36EB">
        <w:rPr>
          <w:rStyle w:val="FootnoteReference"/>
        </w:rPr>
        <w:footnoteReference w:id="141"/>
      </w:r>
    </w:p>
    <w:p w14:paraId="59A9A763" w14:textId="5CBE101B" w:rsidR="007A684B" w:rsidRPr="007A684B" w:rsidRDefault="00A2146F" w:rsidP="007A684B">
      <w:pPr>
        <w:pStyle w:val="RTBodyText"/>
      </w:pPr>
      <w:r>
        <w:t>Licensed r</w:t>
      </w:r>
      <w:r w:rsidR="007A684B" w:rsidRPr="007A684B">
        <w:t>esidential detoxification programs are also in short supply</w:t>
      </w:r>
      <w:r>
        <w:t>; o</w:t>
      </w:r>
      <w:r w:rsidR="007A684B" w:rsidRPr="007A684B">
        <w:t>nly 11</w:t>
      </w:r>
      <w:r>
        <w:t xml:space="preserve"> such </w:t>
      </w:r>
      <w:r w:rsidR="007A684B" w:rsidRPr="007A684B">
        <w:t xml:space="preserve">programs will accept pregnant women throughout the state. These </w:t>
      </w:r>
      <w:proofErr w:type="spellStart"/>
      <w:r w:rsidR="007A684B" w:rsidRPr="007A684B">
        <w:t>centers</w:t>
      </w:r>
      <w:proofErr w:type="spellEnd"/>
      <w:r w:rsidR="007A684B" w:rsidRPr="007A684B">
        <w:t xml:space="preserve"> have a total of 117 treatment slots for both men and women available at any one time. The Tennessee Association of Alcohol, Drug, and Other Addiction Services (TAADAS) released data which found that based on an expected rate of opiate use of 5.4%, as many as 4</w:t>
      </w:r>
      <w:r>
        <w:t>,</w:t>
      </w:r>
      <w:r w:rsidR="007A684B" w:rsidRPr="007A684B">
        <w:t>318 pregnant women could need treatment each year in Tennessee</w:t>
      </w:r>
      <w:r>
        <w:t xml:space="preserve"> </w:t>
      </w:r>
      <w:r w:rsidR="007A684B" w:rsidRPr="007A684B">
        <w:t xml:space="preserve">and </w:t>
      </w:r>
      <w:r>
        <w:t xml:space="preserve">that </w:t>
      </w:r>
      <w:r w:rsidR="007A684B" w:rsidRPr="007A684B">
        <w:t>the available beds serve less than half of this need.</w:t>
      </w:r>
      <w:r w:rsidR="007A684B" w:rsidRPr="007A684B">
        <w:rPr>
          <w:vertAlign w:val="superscript"/>
        </w:rPr>
        <w:footnoteReference w:id="142"/>
      </w:r>
      <w:r w:rsidR="007A684B" w:rsidRPr="007A684B">
        <w:rPr>
          <w:vertAlign w:val="superscript"/>
        </w:rPr>
        <w:t xml:space="preserve">  </w:t>
      </w:r>
    </w:p>
    <w:p w14:paraId="16AB401B" w14:textId="77777777" w:rsidR="004B217C" w:rsidRDefault="007A684B" w:rsidP="004B217C">
      <w:pPr>
        <w:pStyle w:val="RTBodyText"/>
      </w:pPr>
      <w:r w:rsidRPr="007A684B">
        <w:t>An official from the Tennessee Department of Mental Health and Substance Abuse agreed</w:t>
      </w:r>
      <w:r w:rsidR="00E63108">
        <w:t xml:space="preserve"> and </w:t>
      </w:r>
      <w:r w:rsidRPr="007A684B">
        <w:t xml:space="preserve">told Amnesty International that: “There’s almost always a waiting list for inpatient residential treatment. Often these women need residential treatment because of co-occurring mental health issues. Trauma </w:t>
      </w:r>
      <w:proofErr w:type="gramStart"/>
      <w:r w:rsidRPr="007A684B">
        <w:t>is rarely</w:t>
      </w:r>
      <w:proofErr w:type="gramEnd"/>
      <w:r w:rsidRPr="007A684B">
        <w:t xml:space="preserve"> not an issue.”</w:t>
      </w:r>
      <w:r w:rsidRPr="007A684B">
        <w:rPr>
          <w:vertAlign w:val="superscript"/>
        </w:rPr>
        <w:footnoteReference w:id="143"/>
      </w:r>
      <w:r w:rsidRPr="007A684B">
        <w:rPr>
          <w:vertAlign w:val="superscript"/>
        </w:rPr>
        <w:t xml:space="preserve"> </w:t>
      </w:r>
    </w:p>
    <w:p w14:paraId="50431C0A" w14:textId="42C71996" w:rsidR="007A684B" w:rsidRPr="007A684B" w:rsidRDefault="007A684B" w:rsidP="004B217C">
      <w:pPr>
        <w:pStyle w:val="RTBodyText"/>
      </w:pPr>
      <w:r w:rsidRPr="007A684B">
        <w:t>One of the very few physicians who offer prenatal care to women on medication-assisted treatment told Amnesty International:</w:t>
      </w:r>
    </w:p>
    <w:p w14:paraId="10927C37" w14:textId="5E699252" w:rsidR="003A264E" w:rsidRPr="003A264E" w:rsidRDefault="007A684B" w:rsidP="00B418F0">
      <w:pPr>
        <w:pStyle w:val="RTSmallQuoteText"/>
      </w:pPr>
      <w:r w:rsidRPr="007A684B">
        <w:t>“Access is the problem. Patients travel as long as 2-3 hours for their appointments with us. There are few options for these women. Many addiction programs don’t treat pregnant women and don’t take insurance. Our waiting list is long, 6-8 weeks, too long for pregnant women.  The need for comprehensive healthcare serv</w:t>
      </w:r>
      <w:r w:rsidR="00B418F0">
        <w:t xml:space="preserve">ices is great. Of my patients, </w:t>
      </w:r>
      <w:r w:rsidRPr="007A684B">
        <w:t>90% have coexisting psychiatric illness and a 98% rate of unintended pregnancy.”</w:t>
      </w:r>
      <w:r w:rsidR="00B418F0">
        <w:rPr>
          <w:rStyle w:val="FootnoteReference"/>
        </w:rPr>
        <w:footnoteReference w:id="144"/>
      </w:r>
    </w:p>
    <w:p w14:paraId="4D57D3B2" w14:textId="00DCCE02" w:rsidR="00B418F0" w:rsidRDefault="007A684B" w:rsidP="007A684B">
      <w:pPr>
        <w:pStyle w:val="RTBodyText"/>
        <w:rPr>
          <w:lang w:eastAsia="en-GB"/>
        </w:rPr>
      </w:pPr>
      <w:r w:rsidRPr="007A684B">
        <w:rPr>
          <w:lang w:eastAsia="en-GB"/>
        </w:rPr>
        <w:t>A public defender in Knox County told Amnesty International about a</w:t>
      </w:r>
      <w:r w:rsidR="00951B5A">
        <w:rPr>
          <w:lang w:eastAsia="en-GB"/>
        </w:rPr>
        <w:t>n</w:t>
      </w:r>
      <w:r w:rsidRPr="007A684B">
        <w:rPr>
          <w:lang w:eastAsia="en-GB"/>
        </w:rPr>
        <w:t xml:space="preserve"> </w:t>
      </w:r>
      <w:r w:rsidR="00951B5A" w:rsidRPr="007A684B">
        <w:rPr>
          <w:lang w:eastAsia="en-GB"/>
        </w:rPr>
        <w:t>incarcerated, pregna</w:t>
      </w:r>
      <w:r w:rsidR="00951B5A">
        <w:rPr>
          <w:lang w:eastAsia="en-GB"/>
        </w:rPr>
        <w:t>nt</w:t>
      </w:r>
      <w:r w:rsidR="00951B5A" w:rsidRPr="007A684B">
        <w:rPr>
          <w:lang w:eastAsia="en-GB"/>
        </w:rPr>
        <w:t xml:space="preserve"> </w:t>
      </w:r>
      <w:r w:rsidRPr="007A684B">
        <w:rPr>
          <w:lang w:eastAsia="en-GB"/>
        </w:rPr>
        <w:t>client who is</w:t>
      </w:r>
      <w:r w:rsidR="00951B5A">
        <w:rPr>
          <w:lang w:eastAsia="en-GB"/>
        </w:rPr>
        <w:t xml:space="preserve"> </w:t>
      </w:r>
      <w:r w:rsidR="00B418F0">
        <w:rPr>
          <w:lang w:eastAsia="en-GB"/>
        </w:rPr>
        <w:t>seeking drug treatment:</w:t>
      </w:r>
      <w:r w:rsidRPr="007A684B">
        <w:rPr>
          <w:lang w:eastAsia="en-GB"/>
        </w:rPr>
        <w:t xml:space="preserve"> </w:t>
      </w:r>
    </w:p>
    <w:p w14:paraId="771C6974" w14:textId="061C8826" w:rsidR="007A684B" w:rsidRPr="007A684B" w:rsidRDefault="007A684B" w:rsidP="00951B5A">
      <w:pPr>
        <w:pStyle w:val="RTBodyText"/>
        <w:rPr>
          <w:lang w:eastAsia="en-GB"/>
        </w:rPr>
      </w:pPr>
      <w:r w:rsidRPr="007A684B">
        <w:rPr>
          <w:lang w:eastAsia="en-GB"/>
        </w:rPr>
        <w:t>“The wait was 4-6 months, so she might not be in treatment before the pregnancy is over. Nobody wants a baby born exposed to drugs. Nobody wants to give birth in jail. My client wants to stay clean upon release, but the criminal justice system has no ability to address that.”</w:t>
      </w:r>
      <w:r w:rsidRPr="007A684B">
        <w:rPr>
          <w:vertAlign w:val="superscript"/>
          <w:lang w:eastAsia="en-GB"/>
        </w:rPr>
        <w:footnoteReference w:id="145"/>
      </w:r>
      <w:r w:rsidRPr="007A684B">
        <w:rPr>
          <w:vertAlign w:val="superscript"/>
          <w:lang w:eastAsia="en-GB"/>
        </w:rPr>
        <w:t xml:space="preserve"> </w:t>
      </w:r>
    </w:p>
    <w:p w14:paraId="4C024CF7" w14:textId="7AFA0E79" w:rsidR="00F03649" w:rsidRPr="00F03649" w:rsidRDefault="00F03649" w:rsidP="00F03649">
      <w:pPr>
        <w:pStyle w:val="RTNumberedHeading"/>
      </w:pPr>
      <w:bookmarkStart w:id="30" w:name="_Toc482741433"/>
      <w:r w:rsidRPr="00F03649">
        <w:t xml:space="preserve">when Criminal justice and </w:t>
      </w:r>
      <w:r w:rsidR="00A2020F">
        <w:br/>
      </w:r>
      <w:r w:rsidRPr="00F03649">
        <w:t>healthcare converge</w:t>
      </w:r>
      <w:bookmarkEnd w:id="30"/>
    </w:p>
    <w:p w14:paraId="0F4F9080" w14:textId="79276D8E" w:rsidR="00F03649" w:rsidRPr="00F03649" w:rsidRDefault="00F03649" w:rsidP="00F03649">
      <w:pPr>
        <w:pStyle w:val="RTBodyText"/>
        <w:rPr>
          <w:lang w:eastAsia="en-GB"/>
        </w:rPr>
      </w:pPr>
      <w:r w:rsidRPr="00F03649">
        <w:rPr>
          <w:lang w:eastAsia="en-GB"/>
        </w:rPr>
        <w:t xml:space="preserve">When the criminal justice system attempts to take on a </w:t>
      </w:r>
      <w:r w:rsidR="00CF7C14">
        <w:rPr>
          <w:lang w:eastAsia="en-GB"/>
        </w:rPr>
        <w:t>healthcare</w:t>
      </w:r>
      <w:r w:rsidRPr="00F03649">
        <w:rPr>
          <w:lang w:eastAsia="en-GB"/>
        </w:rPr>
        <w:t xml:space="preserve"> issue, inaccuracy and stigma can make their way into law. </w:t>
      </w:r>
    </w:p>
    <w:p w14:paraId="74F1E9D1" w14:textId="77777777" w:rsidR="00951B5A" w:rsidRDefault="00F03649" w:rsidP="00F03649">
      <w:pPr>
        <w:pStyle w:val="RTBodyText"/>
        <w:rPr>
          <w:lang w:val="en-US" w:eastAsia="en-GB"/>
        </w:rPr>
      </w:pPr>
      <w:r w:rsidRPr="00F03649">
        <w:rPr>
          <w:lang w:val="en-US" w:eastAsia="en-GB"/>
        </w:rPr>
        <w:t>The terminology of a newborn being “addicted” to drugs, as stated in the law, is considered both stigmatizing and inaccurate by some healthcare experts.</w:t>
      </w:r>
      <w:r w:rsidRPr="00F03649">
        <w:rPr>
          <w:vertAlign w:val="superscript"/>
          <w:lang w:val="en-US" w:eastAsia="en-GB"/>
        </w:rPr>
        <w:footnoteReference w:id="146"/>
      </w:r>
      <w:r w:rsidRPr="00F03649">
        <w:rPr>
          <w:lang w:val="en-US" w:eastAsia="en-GB"/>
        </w:rPr>
        <w:t xml:space="preserve"> A researcher on drug dependence during pregnancy told Amnesty International that: “Babies cannot, by definition, be addicted. They have not had a life course long enough where they would be using a substance in an uncontrollable way.”</w:t>
      </w:r>
      <w:r w:rsidRPr="00F03649">
        <w:rPr>
          <w:vertAlign w:val="superscript"/>
          <w:lang w:val="en-US" w:eastAsia="en-GB"/>
        </w:rPr>
        <w:footnoteReference w:id="147"/>
      </w:r>
      <w:r w:rsidRPr="00F03649">
        <w:rPr>
          <w:lang w:val="en-US" w:eastAsia="en-GB"/>
        </w:rPr>
        <w:t xml:space="preserve"> </w:t>
      </w:r>
    </w:p>
    <w:p w14:paraId="73CC462D" w14:textId="54F0721E" w:rsidR="00F03649" w:rsidRPr="00F03649" w:rsidRDefault="00F03649" w:rsidP="00F03649">
      <w:pPr>
        <w:pStyle w:val="RTBodyText"/>
        <w:rPr>
          <w:lang w:eastAsia="en-GB"/>
        </w:rPr>
      </w:pPr>
      <w:r w:rsidRPr="00F03649">
        <w:rPr>
          <w:lang w:val="en-US" w:eastAsia="en-GB"/>
        </w:rPr>
        <w:t>Defining</w:t>
      </w:r>
      <w:r w:rsidRPr="00F03649">
        <w:rPr>
          <w:lang w:eastAsia="en-GB"/>
        </w:rPr>
        <w:t>“harm” is also problematic as the law provides no definition.</w:t>
      </w:r>
      <w:r w:rsidRPr="00F03649">
        <w:rPr>
          <w:vertAlign w:val="superscript"/>
          <w:lang w:eastAsia="en-GB"/>
        </w:rPr>
        <w:footnoteReference w:id="148"/>
      </w:r>
      <w:r w:rsidRPr="00F03649">
        <w:rPr>
          <w:lang w:eastAsia="en-GB"/>
        </w:rPr>
        <w:t xml:space="preserve"> Beyond this, according to leading medical authorities at the American Congress of Obstetricians and </w:t>
      </w:r>
      <w:proofErr w:type="spellStart"/>
      <w:r w:rsidRPr="00F03649">
        <w:rPr>
          <w:lang w:eastAsia="en-GB"/>
        </w:rPr>
        <w:t>Gynecologists</w:t>
      </w:r>
      <w:proofErr w:type="spellEnd"/>
      <w:r w:rsidRPr="00F03649">
        <w:rPr>
          <w:lang w:eastAsia="en-GB"/>
        </w:rPr>
        <w:t xml:space="preserve">, there is no evidence that </w:t>
      </w:r>
      <w:r w:rsidRPr="00F03649">
        <w:rPr>
          <w:lang w:eastAsia="en-GB"/>
        </w:rPr>
        <w:lastRenderedPageBreak/>
        <w:t>opioid exposure itself “is life threatening or results in permanent harm.”</w:t>
      </w:r>
      <w:r w:rsidRPr="00F03649">
        <w:rPr>
          <w:vertAlign w:val="superscript"/>
          <w:lang w:eastAsia="en-GB"/>
        </w:rPr>
        <w:footnoteReference w:id="149"/>
      </w:r>
      <w:r w:rsidRPr="00F03649">
        <w:rPr>
          <w:lang w:eastAsia="en-GB"/>
        </w:rPr>
        <w:t xml:space="preserve"> Nineteen medical and public health associations have released policy statements opposing punishment of pregnant women for the sake of public health.</w:t>
      </w:r>
      <w:r w:rsidRPr="00F03649">
        <w:rPr>
          <w:vertAlign w:val="superscript"/>
          <w:lang w:eastAsia="en-GB"/>
        </w:rPr>
        <w:footnoteReference w:id="150"/>
      </w:r>
      <w:r w:rsidRPr="00F03649">
        <w:rPr>
          <w:lang w:eastAsia="en-GB"/>
        </w:rPr>
        <w:t xml:space="preserve"> The World Health Organization provides detailed guidelines on providing opioid maintenance treatment to pregnant women and </w:t>
      </w:r>
      <w:proofErr w:type="spellStart"/>
      <w:r w:rsidRPr="00F03649">
        <w:rPr>
          <w:lang w:eastAsia="en-GB"/>
        </w:rPr>
        <w:t>newborns</w:t>
      </w:r>
      <w:proofErr w:type="spellEnd"/>
      <w:r w:rsidRPr="00F03649">
        <w:rPr>
          <w:lang w:eastAsia="en-GB"/>
        </w:rPr>
        <w:t>.</w:t>
      </w:r>
      <w:r w:rsidRPr="00F03649">
        <w:rPr>
          <w:vertAlign w:val="superscript"/>
          <w:lang w:eastAsia="en-GB"/>
        </w:rPr>
        <w:footnoteReference w:id="151"/>
      </w:r>
    </w:p>
    <w:p w14:paraId="50F5589D" w14:textId="609EF050" w:rsidR="00F03649" w:rsidRPr="00F03649" w:rsidRDefault="00F03649" w:rsidP="00F03649">
      <w:pPr>
        <w:pStyle w:val="RTBodyText"/>
        <w:rPr>
          <w:lang w:eastAsia="en-GB"/>
        </w:rPr>
      </w:pPr>
      <w:r w:rsidRPr="00F03649">
        <w:rPr>
          <w:lang w:eastAsia="en-GB"/>
        </w:rPr>
        <w:t>Under the “</w:t>
      </w:r>
      <w:proofErr w:type="spellStart"/>
      <w:r w:rsidRPr="00F03649">
        <w:rPr>
          <w:lang w:eastAsia="en-GB"/>
        </w:rPr>
        <w:t>fetal</w:t>
      </w:r>
      <w:proofErr w:type="spellEnd"/>
      <w:r w:rsidRPr="00F03649">
        <w:rPr>
          <w:lang w:eastAsia="en-GB"/>
        </w:rPr>
        <w:t xml:space="preserve"> assault” law, women facing charges could avoid conviction if they “actively enrolled in an addiction recovery program before the child is born, remained in the program after delivery, and successfully completed the program…”</w:t>
      </w:r>
      <w:r w:rsidRPr="00F03649">
        <w:rPr>
          <w:vertAlign w:val="superscript"/>
          <w:lang w:eastAsia="en-GB"/>
        </w:rPr>
        <w:footnoteReference w:id="152"/>
      </w:r>
      <w:r w:rsidRPr="00F03649">
        <w:rPr>
          <w:lang w:eastAsia="en-GB"/>
        </w:rPr>
        <w:t xml:space="preserve"> However, being in treatment does not prevent investigation or arrest and the defendant must find a way to prove that she is in treatment despite the lack of availability and affordability.</w:t>
      </w:r>
      <w:r w:rsidRPr="00F03649">
        <w:rPr>
          <w:vertAlign w:val="superscript"/>
          <w:lang w:eastAsia="en-GB"/>
        </w:rPr>
        <w:footnoteReference w:id="153"/>
      </w:r>
    </w:p>
    <w:p w14:paraId="6F554FBB" w14:textId="12799252" w:rsidR="00F03649" w:rsidRPr="00F03649" w:rsidRDefault="00F03649" w:rsidP="00F03649">
      <w:pPr>
        <w:pStyle w:val="RTBodyText"/>
        <w:rPr>
          <w:lang w:eastAsia="en-GB"/>
        </w:rPr>
      </w:pPr>
      <w:r w:rsidRPr="00F03649">
        <w:rPr>
          <w:lang w:eastAsia="en-GB"/>
        </w:rPr>
        <w:t>Moreover, demonstrating that a woman has “completed” a program is not straightforward as the law fails to define what qualifies as “completion” of treatment. Drug dependence is a chronic, relapsing condition</w:t>
      </w:r>
      <w:r w:rsidRPr="00F03649">
        <w:rPr>
          <w:vertAlign w:val="superscript"/>
          <w:lang w:eastAsia="en-GB"/>
        </w:rPr>
        <w:footnoteReference w:id="154"/>
      </w:r>
      <w:r w:rsidRPr="00F03649">
        <w:rPr>
          <w:lang w:eastAsia="en-GB"/>
        </w:rPr>
        <w:t xml:space="preserve"> and many forms of treatment are ongoing and must be continued long-term, including methadone</w:t>
      </w:r>
      <w:r>
        <w:rPr>
          <w:lang w:eastAsia="en-GB"/>
        </w:rPr>
        <w:t xml:space="preserve"> </w:t>
      </w:r>
      <w:r w:rsidRPr="00F03649">
        <w:rPr>
          <w:lang w:eastAsia="en-GB"/>
        </w:rPr>
        <w:t>maintenance treatment, the current standard of care for pregnant women in the U</w:t>
      </w:r>
      <w:r w:rsidR="00951B5A">
        <w:rPr>
          <w:lang w:eastAsia="en-GB"/>
        </w:rPr>
        <w:t>SA</w:t>
      </w:r>
      <w:r w:rsidRPr="00F03649">
        <w:rPr>
          <w:lang w:eastAsia="en-GB"/>
        </w:rPr>
        <w:t>.</w:t>
      </w:r>
      <w:r w:rsidRPr="00F03649">
        <w:rPr>
          <w:vertAlign w:val="superscript"/>
          <w:lang w:eastAsia="en-GB"/>
        </w:rPr>
        <w:footnoteReference w:id="155"/>
      </w:r>
      <w:r w:rsidRPr="00F03649">
        <w:rPr>
          <w:lang w:eastAsia="en-GB"/>
        </w:rPr>
        <w:t xml:space="preserve">  Like treatment for other chronic conditions, the goal of treatment is often ongoing management, not cure.</w:t>
      </w:r>
      <w:r w:rsidRPr="00F03649">
        <w:rPr>
          <w:vertAlign w:val="superscript"/>
          <w:lang w:eastAsia="en-GB"/>
        </w:rPr>
        <w:footnoteReference w:id="156"/>
      </w:r>
      <w:r w:rsidRPr="00F03649">
        <w:rPr>
          <w:lang w:eastAsia="en-GB"/>
        </w:rPr>
        <w:t xml:space="preserve">  </w:t>
      </w:r>
    </w:p>
    <w:p w14:paraId="36354A1A" w14:textId="2EEC1DA6" w:rsidR="00EC36EB" w:rsidRDefault="00F03649" w:rsidP="00F03649">
      <w:pPr>
        <w:pStyle w:val="RTBodyText"/>
        <w:rPr>
          <w:lang w:eastAsia="en-GB"/>
        </w:rPr>
      </w:pPr>
      <w:r w:rsidRPr="00F03649">
        <w:rPr>
          <w:lang w:eastAsia="en-GB"/>
        </w:rPr>
        <w:t>More broadly, physicians and other experts have expressed concern about mixing medical care with criminal justice endeavours as is the case with the Tennessee “</w:t>
      </w:r>
      <w:proofErr w:type="spellStart"/>
      <w:r w:rsidRPr="00F03649">
        <w:rPr>
          <w:lang w:eastAsia="en-GB"/>
        </w:rPr>
        <w:t>fetal</w:t>
      </w:r>
      <w:proofErr w:type="spellEnd"/>
      <w:r w:rsidRPr="00F03649">
        <w:rPr>
          <w:lang w:eastAsia="en-GB"/>
        </w:rPr>
        <w:t xml:space="preserve"> assault” law. A cr</w:t>
      </w:r>
      <w:r w:rsidR="00EC36EB">
        <w:rPr>
          <w:lang w:eastAsia="en-GB"/>
        </w:rPr>
        <w:t xml:space="preserve">iminal justice advocate told </w:t>
      </w:r>
      <w:r w:rsidR="00951B5A">
        <w:rPr>
          <w:lang w:eastAsia="en-GB"/>
        </w:rPr>
        <w:t>Amnesty International</w:t>
      </w:r>
      <w:r w:rsidR="00EC36EB">
        <w:rPr>
          <w:lang w:eastAsia="en-GB"/>
        </w:rPr>
        <w:t>:</w:t>
      </w:r>
    </w:p>
    <w:p w14:paraId="36E0AAD3" w14:textId="333A355C" w:rsidR="00F03649" w:rsidRPr="00F03649" w:rsidRDefault="00F03649" w:rsidP="00EC36EB">
      <w:pPr>
        <w:pStyle w:val="RTSmallQuoteText"/>
        <w:rPr>
          <w:lang w:eastAsia="en-GB"/>
        </w:rPr>
      </w:pPr>
      <w:r w:rsidRPr="00F03649">
        <w:rPr>
          <w:lang w:eastAsia="en-GB"/>
        </w:rPr>
        <w:t>“</w:t>
      </w:r>
      <w:r w:rsidR="00951B5A">
        <w:rPr>
          <w:lang w:eastAsia="en-GB"/>
        </w:rPr>
        <w:t>W</w:t>
      </w:r>
      <w:r w:rsidRPr="00F03649">
        <w:rPr>
          <w:lang w:eastAsia="en-GB"/>
        </w:rPr>
        <w:t>e see a conflation of the public health system and the criminal justice system. That’s an observation knowing how drug court operates and how these women are treated.”</w:t>
      </w:r>
      <w:r w:rsidRPr="00F03649">
        <w:rPr>
          <w:vertAlign w:val="superscript"/>
          <w:lang w:eastAsia="en-GB"/>
        </w:rPr>
        <w:footnoteReference w:id="157"/>
      </w:r>
    </w:p>
    <w:p w14:paraId="64063E16" w14:textId="77777777" w:rsidR="00F03649" w:rsidRPr="00F03649" w:rsidRDefault="00F03649" w:rsidP="00F03649">
      <w:pPr>
        <w:pStyle w:val="RTBodyText"/>
        <w:rPr>
          <w:lang w:eastAsia="en-GB"/>
        </w:rPr>
      </w:pPr>
      <w:r w:rsidRPr="00F03649">
        <w:rPr>
          <w:lang w:eastAsia="en-GB"/>
        </w:rPr>
        <w:t>A physician told Amnesty International that:</w:t>
      </w:r>
    </w:p>
    <w:p w14:paraId="6F5A6C64" w14:textId="5B1DCBE8" w:rsidR="00F03649" w:rsidRPr="00F03649" w:rsidRDefault="00F03649" w:rsidP="00F03649">
      <w:pPr>
        <w:pStyle w:val="RTSmallQuoteText"/>
        <w:rPr>
          <w:lang w:eastAsia="en-GB"/>
        </w:rPr>
      </w:pPr>
      <w:r w:rsidRPr="00F03649">
        <w:rPr>
          <w:lang w:eastAsia="en-GB"/>
        </w:rPr>
        <w:t>“Judges are taking more liberty with medical decisions from the bench. For example, by saying someone has to stop medication maintenance or go to jail. It goes against medical advice. It compromises medical care and decision</w:t>
      </w:r>
      <w:r w:rsidR="00951B5A">
        <w:rPr>
          <w:lang w:eastAsia="en-GB"/>
        </w:rPr>
        <w:t>-</w:t>
      </w:r>
      <w:r w:rsidRPr="00F03649">
        <w:rPr>
          <w:lang w:eastAsia="en-GB"/>
        </w:rPr>
        <w:t>making.”</w:t>
      </w:r>
      <w:r w:rsidR="00B418F0">
        <w:rPr>
          <w:rStyle w:val="FootnoteReference"/>
          <w:lang w:eastAsia="en-GB"/>
        </w:rPr>
        <w:footnoteReference w:id="158"/>
      </w:r>
    </w:p>
    <w:p w14:paraId="29248697" w14:textId="5A95678B" w:rsidR="00F03649" w:rsidRPr="00F03649" w:rsidRDefault="00F03649" w:rsidP="00F03649">
      <w:pPr>
        <w:pStyle w:val="RTBodyText"/>
        <w:rPr>
          <w:lang w:eastAsia="en-GB"/>
        </w:rPr>
      </w:pPr>
      <w:r w:rsidRPr="00F03649">
        <w:rPr>
          <w:lang w:eastAsia="en-GB"/>
        </w:rPr>
        <w:t>A woman with a young child currently living in a residential facility questioned whether criminalization would improve the situation of those who were drug dependent during pregnancy</w:t>
      </w:r>
      <w:r w:rsidR="00951B5A">
        <w:rPr>
          <w:lang w:eastAsia="en-GB"/>
        </w:rPr>
        <w:t xml:space="preserve"> said</w:t>
      </w:r>
      <w:r w:rsidRPr="00F03649">
        <w:rPr>
          <w:lang w:eastAsia="en-GB"/>
        </w:rPr>
        <w:t xml:space="preserve">: </w:t>
      </w:r>
    </w:p>
    <w:p w14:paraId="794C1F1A" w14:textId="1C293783" w:rsidR="00F03649" w:rsidRPr="00F03649" w:rsidRDefault="00F03649" w:rsidP="00F03649">
      <w:pPr>
        <w:pStyle w:val="RTSmallQuoteText"/>
        <w:rPr>
          <w:lang w:eastAsia="en-GB"/>
        </w:rPr>
      </w:pPr>
      <w:r w:rsidRPr="00F03649">
        <w:rPr>
          <w:lang w:eastAsia="en-GB"/>
        </w:rPr>
        <w:t>“I just don’t understand how the law makes anything better. If you lose your child and go to jail, you are never going to recover.”</w:t>
      </w:r>
      <w:r w:rsidR="00B418F0">
        <w:rPr>
          <w:rStyle w:val="FootnoteReference"/>
          <w:lang w:eastAsia="en-GB"/>
        </w:rPr>
        <w:footnoteReference w:id="159"/>
      </w:r>
      <w:r w:rsidRPr="00F03649">
        <w:rPr>
          <w:lang w:eastAsia="en-GB"/>
        </w:rPr>
        <w:t xml:space="preserve"> </w:t>
      </w:r>
    </w:p>
    <w:p w14:paraId="785216E3" w14:textId="51633B98" w:rsidR="00F03649" w:rsidRPr="00F03649" w:rsidRDefault="00F03649" w:rsidP="00F03649">
      <w:pPr>
        <w:pStyle w:val="RTSourceText"/>
      </w:pPr>
    </w:p>
    <w:tbl>
      <w:tblPr>
        <w:tblStyle w:val="RTTintedPullout"/>
        <w:tblW w:w="8278" w:type="dxa"/>
        <w:tblLook w:val="04A0" w:firstRow="1" w:lastRow="0" w:firstColumn="1" w:lastColumn="0" w:noHBand="0" w:noVBand="1"/>
      </w:tblPr>
      <w:tblGrid>
        <w:gridCol w:w="8278"/>
      </w:tblGrid>
      <w:tr w:rsidR="00F03649" w:rsidRPr="00C06C22" w14:paraId="6CA66112" w14:textId="77777777" w:rsidTr="002402A8">
        <w:trPr>
          <w:trHeight w:val="614"/>
        </w:trPr>
        <w:tc>
          <w:tcPr>
            <w:tcW w:w="8278" w:type="dxa"/>
          </w:tcPr>
          <w:p w14:paraId="035DDD92" w14:textId="45CD71B0" w:rsidR="00F03649" w:rsidRPr="00C06C22" w:rsidRDefault="00F03649" w:rsidP="00462C20">
            <w:pPr>
              <w:pStyle w:val="RTSmallheadingCAPS"/>
            </w:pPr>
            <w:r>
              <w:lastRenderedPageBreak/>
              <w:t>medication-assisted treatment and human rights principles</w:t>
            </w:r>
          </w:p>
          <w:p w14:paraId="754E0F56" w14:textId="77777777" w:rsidR="00F03649" w:rsidRDefault="00F03649" w:rsidP="00F03649">
            <w:pPr>
              <w:pStyle w:val="RTBodyText"/>
              <w:rPr>
                <w:lang w:val="en-US"/>
              </w:rPr>
            </w:pPr>
          </w:p>
          <w:p w14:paraId="35AEEACD" w14:textId="237CE31A" w:rsidR="00F03649" w:rsidRPr="00F03649" w:rsidRDefault="00F03649" w:rsidP="00F03649">
            <w:pPr>
              <w:pStyle w:val="RTBodyText"/>
              <w:rPr>
                <w:lang w:val="en-US"/>
              </w:rPr>
            </w:pPr>
            <w:r w:rsidRPr="00F03649">
              <w:rPr>
                <w:lang w:val="en-US"/>
              </w:rPr>
              <w:t>While methadone maintenance therapy is recommended as the standard of care for pregnant women dependent on opioids, some drug court judges have decided that medication-assisted treatment is not appropriate for court-supervised therapy.</w:t>
            </w:r>
            <w:r w:rsidRPr="00F03649">
              <w:rPr>
                <w:vertAlign w:val="superscript"/>
                <w:lang w:val="en-US"/>
              </w:rPr>
              <w:footnoteReference w:id="160"/>
            </w:r>
            <w:r w:rsidRPr="00F03649">
              <w:rPr>
                <w:lang w:val="en-US"/>
              </w:rPr>
              <w:t xml:space="preserve"> There is also a high level of stigma surrounding medication assisted treatment.</w:t>
            </w:r>
            <w:r w:rsidRPr="00F03649">
              <w:rPr>
                <w:vertAlign w:val="superscript"/>
                <w:lang w:val="en-US"/>
              </w:rPr>
              <w:footnoteReference w:id="161"/>
            </w:r>
            <w:r w:rsidRPr="00F03649">
              <w:rPr>
                <w:lang w:val="en-US"/>
              </w:rPr>
              <w:t xml:space="preserve"> Opioid replacement therapy is recognized as a crucial drug treatment tool by national and international health authorities, including the World Health Organization</w:t>
            </w:r>
            <w:r w:rsidR="003820C2">
              <w:rPr>
                <w:lang w:val="en-US"/>
              </w:rPr>
              <w:t xml:space="preserve"> (WHO)</w:t>
            </w:r>
            <w:r w:rsidRPr="00F03649">
              <w:rPr>
                <w:lang w:val="en-US"/>
              </w:rPr>
              <w:t>, and denying this treatment option undermines the right to access essential health services.</w:t>
            </w:r>
            <w:r w:rsidRPr="00F03649">
              <w:rPr>
                <w:vertAlign w:val="superscript"/>
                <w:lang w:val="en-US"/>
              </w:rPr>
              <w:footnoteReference w:id="162"/>
            </w:r>
            <w:r w:rsidRPr="00F03649">
              <w:rPr>
                <w:lang w:val="en-US"/>
              </w:rPr>
              <w:t xml:space="preserve"> Further, the Special Rapporteur on Torture has said that “denial of opiate substitution treatment” may amount to torture or other ill-treatment.</w:t>
            </w:r>
            <w:r w:rsidRPr="00F03649">
              <w:rPr>
                <w:vertAlign w:val="superscript"/>
                <w:lang w:val="en-US"/>
              </w:rPr>
              <w:footnoteReference w:id="163"/>
            </w:r>
          </w:p>
          <w:p w14:paraId="12727C7D" w14:textId="54C554F6" w:rsidR="00F03649" w:rsidRPr="00F03649" w:rsidRDefault="00F03649" w:rsidP="00F03649">
            <w:pPr>
              <w:pStyle w:val="RTBodyText"/>
              <w:rPr>
                <w:b/>
              </w:rPr>
            </w:pPr>
            <w:r w:rsidRPr="00F03649">
              <w:t>The W</w:t>
            </w:r>
            <w:r w:rsidR="003860A9">
              <w:t>HO</w:t>
            </w:r>
            <w:r w:rsidRPr="00F03649">
              <w:t>, the Joint United Nations Program on HIV/AIDS (UNAIDS) and the United Nations Office on Drugs and Crime (UNODC) issued a joint position paper confirming that: “Effective pharmacotherapy treatment of opioid dependence can substantially improve obstetric, perinatal and neonatal outcomes. Opioid substitution maintenance therapy also has an important role in attracting and retaining pregnant women in treatment and ensuring good contact with obstetric and community-based services including primary care. Addressing childcare and family support issues for women continues to be a major gap in the delivery of services for women in most countries.”</w:t>
            </w:r>
            <w:r w:rsidRPr="00F03649">
              <w:rPr>
                <w:vertAlign w:val="superscript"/>
              </w:rPr>
              <w:footnoteReference w:id="164"/>
            </w:r>
          </w:p>
          <w:p w14:paraId="4D1E7BDC" w14:textId="77777777" w:rsidR="00F03649" w:rsidRPr="00F03649" w:rsidRDefault="00F03649" w:rsidP="00F03649">
            <w:pPr>
              <w:pStyle w:val="RTBodyText"/>
            </w:pPr>
            <w:r w:rsidRPr="00F03649">
              <w:t>The WHO recognizes that drug dependence often follows the course of “a relapsing and remitting chronic disease”.</w:t>
            </w:r>
            <w:r w:rsidRPr="00F03649">
              <w:rPr>
                <w:vertAlign w:val="superscript"/>
              </w:rPr>
              <w:footnoteReference w:id="165"/>
            </w:r>
            <w:r w:rsidRPr="00F03649">
              <w:t xml:space="preserve"> UN guidance indicates that people may need to try several kinds of treatment or several episodes of treatment to overcome drug dependence.</w:t>
            </w:r>
            <w:r w:rsidRPr="00F03649">
              <w:rPr>
                <w:vertAlign w:val="superscript"/>
              </w:rPr>
              <w:footnoteReference w:id="166"/>
            </w:r>
            <w:r w:rsidRPr="00F03649">
              <w:t xml:space="preserve"> Opioid dependence is a complex health condition, and more than one treatment option should be available.</w:t>
            </w:r>
            <w:r w:rsidRPr="00F03649">
              <w:rPr>
                <w:vertAlign w:val="superscript"/>
              </w:rPr>
              <w:footnoteReference w:id="167"/>
            </w:r>
          </w:p>
          <w:p w14:paraId="1AAC4E1E" w14:textId="44D7A82C" w:rsidR="002402A8" w:rsidRDefault="00F03649" w:rsidP="00F03649">
            <w:pPr>
              <w:pStyle w:val="RTBodyText"/>
            </w:pPr>
            <w:r w:rsidRPr="00F03649">
              <w:t xml:space="preserve">However, requiring enrolment in a treatment program contradicts these basic understandings of the nature of drug dependence treatment by mandating treatment that is overseen by a judge rather than a </w:t>
            </w:r>
            <w:r w:rsidR="00CF7C14">
              <w:t>healthcare</w:t>
            </w:r>
            <w:r w:rsidRPr="00F03649">
              <w:t xml:space="preserve"> professional and is therefore not necessarily evidence-based. For example, some drug courts may refuse medication-assisted treatment as a treatment option even if it is needed.</w:t>
            </w:r>
            <w:r w:rsidRPr="00F03649">
              <w:rPr>
                <w:vertAlign w:val="superscript"/>
              </w:rPr>
              <w:footnoteReference w:id="168"/>
            </w:r>
            <w:r w:rsidRPr="00F03649">
              <w:t xml:space="preserve"> </w:t>
            </w:r>
          </w:p>
          <w:p w14:paraId="25828675" w14:textId="5F3D921E" w:rsidR="00F03649" w:rsidRPr="00F03649" w:rsidRDefault="00F03649" w:rsidP="00F03649">
            <w:pPr>
              <w:pStyle w:val="RTBodyText"/>
            </w:pPr>
            <w:r w:rsidRPr="00F03649">
              <w:t>Critics to this model have argued that drug courts normally fail to acknowledge</w:t>
            </w:r>
            <w:r w:rsidRPr="00F03649">
              <w:rPr>
                <w:lang w:val="en-US"/>
              </w:rPr>
              <w:t xml:space="preserve"> relapse as a normal part of an effort to cease the use of drugs, such that those who “fail” in completing court-supervised treatment may be sent back to court with a guilty plea that can result in a harsher sentence.</w:t>
            </w:r>
            <w:r w:rsidRPr="00F03649">
              <w:rPr>
                <w:vertAlign w:val="superscript"/>
                <w:lang w:val="en-US"/>
              </w:rPr>
              <w:footnoteReference w:id="169"/>
            </w:r>
            <w:r w:rsidRPr="00F03649">
              <w:rPr>
                <w:lang w:val="en-US"/>
              </w:rPr>
              <w:t xml:space="preserve"> </w:t>
            </w:r>
            <w:r w:rsidRPr="00F03649">
              <w:t>A physician who specializes in treating pregnant women with opiate dependence told Amnesty International that such sanctions “make it harder to individualize care. “It’s frustrating from a medical perspective because of a low level of understanding of opioid addiction as a disease and the risk of detox and relapse in the natural course of addiction, and how resource intensive therapy is in terms of resources and support.”</w:t>
            </w:r>
            <w:r w:rsidRPr="00F03649">
              <w:rPr>
                <w:vertAlign w:val="superscript"/>
              </w:rPr>
              <w:footnoteReference w:id="170"/>
            </w:r>
            <w:r w:rsidRPr="00F03649">
              <w:t xml:space="preserve"> </w:t>
            </w:r>
          </w:p>
          <w:p w14:paraId="4309DE6A" w14:textId="4934B4E4" w:rsidR="004B217C" w:rsidRPr="00C06C22" w:rsidRDefault="00F03649" w:rsidP="003860A9">
            <w:pPr>
              <w:pStyle w:val="RTBodyText"/>
            </w:pPr>
            <w:r w:rsidRPr="00F03649">
              <w:t>Punishing a treatment “failure” violates international guidelines, which call for drug treatment to be voluntary and for patients to be treated with dignity.</w:t>
            </w:r>
            <w:r w:rsidRPr="00F03649">
              <w:rPr>
                <w:vertAlign w:val="superscript"/>
              </w:rPr>
              <w:footnoteReference w:id="171"/>
            </w:r>
          </w:p>
        </w:tc>
      </w:tr>
    </w:tbl>
    <w:p w14:paraId="42362BD5" w14:textId="77777777" w:rsidR="002402A8" w:rsidRPr="002402A8" w:rsidRDefault="002402A8" w:rsidP="009D71C0">
      <w:pPr>
        <w:pStyle w:val="RTNumberedHeading"/>
      </w:pPr>
      <w:bookmarkStart w:id="31" w:name="_Toc459019948"/>
      <w:bookmarkStart w:id="32" w:name="_Toc472099371"/>
      <w:bookmarkStart w:id="33" w:name="_Toc482741434"/>
      <w:r w:rsidRPr="002402A8">
        <w:lastRenderedPageBreak/>
        <w:t>Deterrence from prenatal care</w:t>
      </w:r>
      <w:bookmarkEnd w:id="31"/>
      <w:bookmarkEnd w:id="32"/>
      <w:bookmarkEnd w:id="33"/>
    </w:p>
    <w:p w14:paraId="51FEBA78" w14:textId="58BAA53D" w:rsidR="005570C4" w:rsidRPr="005570C4" w:rsidRDefault="005570C4" w:rsidP="001F0D99">
      <w:pPr>
        <w:pStyle w:val="RTSmallQuoteText"/>
      </w:pPr>
      <w:r w:rsidRPr="005570C4">
        <w:t>“The problem with the law is that it discourages women from seeking treatment. I’ve seen higher no</w:t>
      </w:r>
      <w:r w:rsidR="003860A9">
        <w:t>-</w:t>
      </w:r>
      <w:r w:rsidRPr="005570C4">
        <w:t>show r</w:t>
      </w:r>
      <w:r w:rsidR="00EC36EB">
        <w:t>ates for the first appointment.</w:t>
      </w:r>
      <w:r w:rsidRPr="005570C4">
        <w:t xml:space="preserve"> Patients are showing up later in their pregnancies for care. Patients are telling me they are considering delivering out of state. Some women may decide they have to self-detox at home because they don’t want it on their record.”</w:t>
      </w:r>
    </w:p>
    <w:p w14:paraId="487CD053" w14:textId="77777777" w:rsidR="005570C4" w:rsidRPr="005570C4" w:rsidRDefault="005570C4" w:rsidP="005570C4">
      <w:pPr>
        <w:pStyle w:val="RTSourceText"/>
        <w:rPr>
          <w:lang w:eastAsia="en-GB"/>
        </w:rPr>
      </w:pPr>
      <w:r w:rsidRPr="005570C4">
        <w:rPr>
          <w:lang w:eastAsia="en-GB"/>
        </w:rPr>
        <w:t>Jessica Young, Obstetrician-</w:t>
      </w:r>
      <w:proofErr w:type="spellStart"/>
      <w:r w:rsidRPr="005570C4">
        <w:rPr>
          <w:lang w:eastAsia="en-GB"/>
        </w:rPr>
        <w:t>Gynecologist</w:t>
      </w:r>
      <w:proofErr w:type="spellEnd"/>
      <w:r w:rsidRPr="005570C4">
        <w:rPr>
          <w:lang w:eastAsia="en-GB"/>
        </w:rPr>
        <w:t xml:space="preserve"> treating pregnant women with drug dependence in Nashville</w:t>
      </w:r>
    </w:p>
    <w:p w14:paraId="08E5F3CB" w14:textId="7242BE90" w:rsidR="005570C4" w:rsidRPr="005570C4" w:rsidRDefault="005570C4" w:rsidP="005570C4">
      <w:pPr>
        <w:pStyle w:val="RTBodyText"/>
        <w:rPr>
          <w:lang w:eastAsia="en-GB"/>
        </w:rPr>
      </w:pPr>
      <w:r w:rsidRPr="005570C4">
        <w:rPr>
          <w:lang w:eastAsia="en-GB"/>
        </w:rPr>
        <w:t>Some treatment providers have become vocal advocates speaking out about the impact of the law on the people they serve. Evan Sexton, the Clinical Director of Renaissance Recovery Group in Knoxville, T</w:t>
      </w:r>
      <w:r w:rsidR="003860A9">
        <w:rPr>
          <w:lang w:eastAsia="en-GB"/>
        </w:rPr>
        <w:t>ennessee</w:t>
      </w:r>
      <w:r w:rsidRPr="005570C4">
        <w:rPr>
          <w:lang w:eastAsia="en-GB"/>
        </w:rPr>
        <w:t xml:space="preserve">, told Amnesty International: </w:t>
      </w:r>
    </w:p>
    <w:p w14:paraId="2237F110" w14:textId="6E122F7A" w:rsidR="005570C4" w:rsidRDefault="005570C4" w:rsidP="001F0D99">
      <w:pPr>
        <w:pStyle w:val="RTSmallQuoteText"/>
        <w:rPr>
          <w:lang w:eastAsia="en-GB"/>
        </w:rPr>
      </w:pPr>
      <w:r w:rsidRPr="005570C4">
        <w:rPr>
          <w:lang w:eastAsia="en-GB"/>
        </w:rPr>
        <w:t xml:space="preserve">“Everybody that we’ve asked has been fearful of this law. Three recent referrals to my drug treatment facility have not even sought obstetrical </w:t>
      </w:r>
      <w:r w:rsidR="003860A9">
        <w:rPr>
          <w:lang w:eastAsia="en-GB"/>
        </w:rPr>
        <w:t>[</w:t>
      </w:r>
      <w:r w:rsidRPr="005570C4">
        <w:rPr>
          <w:lang w:eastAsia="en-GB"/>
        </w:rPr>
        <w:t>OB</w:t>
      </w:r>
      <w:r w:rsidR="003860A9">
        <w:rPr>
          <w:lang w:eastAsia="en-GB"/>
        </w:rPr>
        <w:t>]</w:t>
      </w:r>
      <w:r w:rsidRPr="005570C4">
        <w:rPr>
          <w:lang w:eastAsia="en-GB"/>
        </w:rPr>
        <w:t xml:space="preserve"> care. They have avoided OB care because of this law. Remember, a lot of them have past histories where their perception is that the law is not going to be their friend. They understand that there is a law. That if you deliver they are going to take your baby and throw you in jail. In the years I've been doing treatment, this law has got more moving parts than any other situation I can imagine. Everyone has an opinion about what we need to do with those women.”</w:t>
      </w:r>
      <w:r w:rsidRPr="005570C4">
        <w:rPr>
          <w:vertAlign w:val="superscript"/>
          <w:lang w:eastAsia="en-GB"/>
        </w:rPr>
        <w:footnoteReference w:id="172"/>
      </w:r>
      <w:r>
        <w:rPr>
          <w:lang w:eastAsia="en-GB"/>
        </w:rPr>
        <w:t xml:space="preserve"> </w:t>
      </w:r>
    </w:p>
    <w:p w14:paraId="78C66B8A" w14:textId="5727BC17" w:rsidR="005570C4" w:rsidRPr="005570C4" w:rsidRDefault="005570C4" w:rsidP="005570C4">
      <w:pPr>
        <w:pStyle w:val="RTBodyText"/>
        <w:rPr>
          <w:lang w:eastAsia="en-GB"/>
        </w:rPr>
      </w:pPr>
      <w:r w:rsidRPr="005570C4">
        <w:rPr>
          <w:lang w:eastAsia="en-GB"/>
        </w:rPr>
        <w:t xml:space="preserve">Along similar lines, the administrator of a program at a treatment </w:t>
      </w:r>
      <w:proofErr w:type="spellStart"/>
      <w:r w:rsidRPr="005570C4">
        <w:rPr>
          <w:lang w:eastAsia="en-GB"/>
        </w:rPr>
        <w:t>center</w:t>
      </w:r>
      <w:proofErr w:type="spellEnd"/>
      <w:r w:rsidRPr="005570C4">
        <w:rPr>
          <w:lang w:eastAsia="en-GB"/>
        </w:rPr>
        <w:t xml:space="preserve"> in Memphis told Amnesty International: </w:t>
      </w:r>
    </w:p>
    <w:p w14:paraId="56D2FFC6" w14:textId="77777777" w:rsidR="005570C4" w:rsidRPr="005570C4" w:rsidRDefault="005570C4" w:rsidP="001F0D99">
      <w:pPr>
        <w:pStyle w:val="RTSmallQuoteText"/>
        <w:rPr>
          <w:lang w:eastAsia="en-GB"/>
        </w:rPr>
      </w:pPr>
      <w:r w:rsidRPr="005570C4">
        <w:rPr>
          <w:lang w:eastAsia="en-GB"/>
        </w:rPr>
        <w:t>“Mothers said they were afraid to go to the doctor for routine prenatal visits. We currently have empty beds, but there used to be a waiting list of 90 days.”</w:t>
      </w:r>
      <w:r w:rsidRPr="005570C4">
        <w:rPr>
          <w:vertAlign w:val="superscript"/>
          <w:lang w:eastAsia="en-GB"/>
        </w:rPr>
        <w:footnoteReference w:id="173"/>
      </w:r>
      <w:r w:rsidRPr="005570C4">
        <w:rPr>
          <w:lang w:eastAsia="en-GB"/>
        </w:rPr>
        <w:t xml:space="preserve"> </w:t>
      </w:r>
    </w:p>
    <w:p w14:paraId="108A188E" w14:textId="77777777" w:rsidR="005570C4" w:rsidRPr="005570C4" w:rsidRDefault="005570C4" w:rsidP="005570C4">
      <w:pPr>
        <w:pStyle w:val="RTBodyText"/>
        <w:rPr>
          <w:lang w:eastAsia="en-GB"/>
        </w:rPr>
      </w:pPr>
      <w:r w:rsidRPr="005570C4">
        <w:rPr>
          <w:lang w:eastAsia="en-GB"/>
        </w:rPr>
        <w:t>A woman who had previously lost custody of a child due to her drug use told Amnesty International:</w:t>
      </w:r>
    </w:p>
    <w:p w14:paraId="7FC7B857" w14:textId="77777777" w:rsidR="005570C4" w:rsidRPr="005570C4" w:rsidRDefault="005570C4" w:rsidP="001F0D99">
      <w:pPr>
        <w:pStyle w:val="RTSmallQuoteText"/>
        <w:rPr>
          <w:lang w:eastAsia="en-GB"/>
        </w:rPr>
      </w:pPr>
      <w:r w:rsidRPr="005570C4">
        <w:rPr>
          <w:lang w:eastAsia="en-GB"/>
        </w:rPr>
        <w:t>“The threat of jail is like putting a noose around your neck. You’re just going to go on the run.”</w:t>
      </w:r>
      <w:r w:rsidRPr="005570C4">
        <w:rPr>
          <w:vertAlign w:val="superscript"/>
          <w:lang w:eastAsia="en-GB"/>
        </w:rPr>
        <w:footnoteReference w:id="174"/>
      </w:r>
    </w:p>
    <w:p w14:paraId="3E37D365" w14:textId="4BAE4D6D" w:rsidR="005570C4" w:rsidRPr="005570C4" w:rsidRDefault="005570C4" w:rsidP="005570C4">
      <w:pPr>
        <w:pStyle w:val="RTBodyText"/>
        <w:rPr>
          <w:lang w:eastAsia="en-GB"/>
        </w:rPr>
      </w:pPr>
      <w:r w:rsidRPr="005570C4">
        <w:rPr>
          <w:lang w:eastAsia="en-GB"/>
        </w:rPr>
        <w:t xml:space="preserve">Healthcare providers have also found that women from Tennessee are being driven to cross state lines to give birth in other states. The Executive Director of an obstetrics and </w:t>
      </w:r>
      <w:proofErr w:type="spellStart"/>
      <w:r w:rsidRPr="005570C4">
        <w:rPr>
          <w:lang w:eastAsia="en-GB"/>
        </w:rPr>
        <w:t>gynecology</w:t>
      </w:r>
      <w:proofErr w:type="spellEnd"/>
      <w:r w:rsidRPr="005570C4">
        <w:rPr>
          <w:lang w:eastAsia="en-GB"/>
        </w:rPr>
        <w:t xml:space="preserve"> clinic specializing in care for women who use drugs in </w:t>
      </w:r>
      <w:proofErr w:type="spellStart"/>
      <w:r w:rsidRPr="005570C4">
        <w:rPr>
          <w:lang w:eastAsia="en-GB"/>
        </w:rPr>
        <w:t>neighboring</w:t>
      </w:r>
      <w:proofErr w:type="spellEnd"/>
      <w:r w:rsidRPr="005570C4">
        <w:rPr>
          <w:lang w:eastAsia="en-GB"/>
        </w:rPr>
        <w:t xml:space="preserve"> North Carolina told Amnesty International that about five women from Tennessee have come to her clinic to obtain prenatal care in the last year.</w:t>
      </w:r>
      <w:r w:rsidRPr="005570C4">
        <w:rPr>
          <w:vertAlign w:val="superscript"/>
          <w:lang w:eastAsia="en-GB"/>
        </w:rPr>
        <w:footnoteReference w:id="175"/>
      </w:r>
      <w:r w:rsidRPr="005570C4">
        <w:rPr>
          <w:lang w:eastAsia="en-GB"/>
        </w:rPr>
        <w:t xml:space="preserve">  </w:t>
      </w:r>
    </w:p>
    <w:p w14:paraId="7EB59B36" w14:textId="77777777" w:rsidR="005570C4" w:rsidRPr="005570C4" w:rsidRDefault="005570C4" w:rsidP="005570C4">
      <w:pPr>
        <w:pStyle w:val="RTBodyText"/>
        <w:rPr>
          <w:lang w:eastAsia="en-GB"/>
        </w:rPr>
      </w:pPr>
      <w:r w:rsidRPr="005570C4">
        <w:rPr>
          <w:lang w:eastAsia="en-GB"/>
        </w:rPr>
        <w:t xml:space="preserve">Zac </w:t>
      </w:r>
      <w:proofErr w:type="spellStart"/>
      <w:r w:rsidRPr="005570C4">
        <w:rPr>
          <w:lang w:eastAsia="en-GB"/>
        </w:rPr>
        <w:t>Talbott</w:t>
      </w:r>
      <w:proofErr w:type="spellEnd"/>
      <w:r w:rsidRPr="005570C4">
        <w:rPr>
          <w:lang w:eastAsia="en-GB"/>
        </w:rPr>
        <w:t xml:space="preserve">, the Director of the East and Middle Tennessee Chapter of the National Alliance for Medication Assisted Recovery, has spoken with several pregnant women in his capacity as an advocate providing referrals for individuals seeking treatment. He told Amnesty International that: </w:t>
      </w:r>
    </w:p>
    <w:p w14:paraId="0E4E78CF" w14:textId="62BCC545" w:rsidR="005570C4" w:rsidRPr="005570C4" w:rsidRDefault="005570C4" w:rsidP="001F0D99">
      <w:pPr>
        <w:pStyle w:val="RTSmallQuoteText"/>
      </w:pPr>
      <w:r w:rsidRPr="005570C4">
        <w:t xml:space="preserve">“The pregnancy criminalization law has struck fear in the hearts of women who have sought treatment, causing undue stress in women who are pregnant. These are women who want to do what’s right; what was best for them and for their developing </w:t>
      </w:r>
      <w:proofErr w:type="spellStart"/>
      <w:r w:rsidRPr="005570C4">
        <w:t>fetus</w:t>
      </w:r>
      <w:proofErr w:type="spellEnd"/>
      <w:r w:rsidRPr="005570C4">
        <w:t>…</w:t>
      </w:r>
      <w:r w:rsidR="00337FA3">
        <w:t xml:space="preserve"> </w:t>
      </w:r>
      <w:r w:rsidRPr="005570C4">
        <w:t xml:space="preserve">There was a woman from Cleveland, Tennessee, on the border with Georgia. This woman drove to Georgia while in </w:t>
      </w:r>
      <w:proofErr w:type="spellStart"/>
      <w:r w:rsidRPr="005570C4">
        <w:t>labor</w:t>
      </w:r>
      <w:proofErr w:type="spellEnd"/>
      <w:r w:rsidRPr="005570C4">
        <w:t>. She did not make it to the hospital in time and gave birth by herself in her car. Another woman, who was using prescription opioids off-label, decided to have an abortion. Fear that a rogue prosecutor could prosecute her was part of the decision.”</w:t>
      </w:r>
      <w:r w:rsidRPr="00EC36EB">
        <w:rPr>
          <w:vertAlign w:val="superscript"/>
        </w:rPr>
        <w:footnoteReference w:id="176"/>
      </w:r>
    </w:p>
    <w:p w14:paraId="64BA3120" w14:textId="59704AD2" w:rsidR="005570C4" w:rsidRPr="005570C4" w:rsidRDefault="005570C4" w:rsidP="005570C4">
      <w:pPr>
        <w:pStyle w:val="RTBodyText"/>
        <w:rPr>
          <w:lang w:eastAsia="en-GB"/>
        </w:rPr>
      </w:pPr>
      <w:r w:rsidRPr="005570C4">
        <w:rPr>
          <w:lang w:eastAsia="en-GB"/>
        </w:rPr>
        <w:t xml:space="preserve">The threat of pregnant women driving to nearby states drew attention from the Tennessee Department of Health. The state agency published additional guidance on reporting </w:t>
      </w:r>
      <w:r w:rsidRPr="009D2068">
        <w:rPr>
          <w:lang w:eastAsia="en-GB"/>
        </w:rPr>
        <w:t>NAS</w:t>
      </w:r>
      <w:r w:rsidRPr="005570C4">
        <w:rPr>
          <w:lang w:eastAsia="en-GB"/>
        </w:rPr>
        <w:t xml:space="preserve"> cases from </w:t>
      </w:r>
      <w:proofErr w:type="gramStart"/>
      <w:r w:rsidR="00337FA3">
        <w:rPr>
          <w:lang w:eastAsia="en-GB"/>
        </w:rPr>
        <w:t>b</w:t>
      </w:r>
      <w:r w:rsidRPr="005570C4">
        <w:rPr>
          <w:lang w:eastAsia="en-GB"/>
        </w:rPr>
        <w:t xml:space="preserve">order </w:t>
      </w:r>
      <w:r w:rsidR="00337FA3">
        <w:rPr>
          <w:lang w:eastAsia="en-GB"/>
        </w:rPr>
        <w:t>s</w:t>
      </w:r>
      <w:r w:rsidRPr="005570C4">
        <w:rPr>
          <w:lang w:eastAsia="en-GB"/>
        </w:rPr>
        <w:t>tates</w:t>
      </w:r>
      <w:proofErr w:type="gramEnd"/>
      <w:r w:rsidRPr="005570C4">
        <w:rPr>
          <w:lang w:eastAsia="en-GB"/>
        </w:rPr>
        <w:t>, altering its NAS reporting portal to allow for reports from hospitals serving counties that border Tennessee.</w:t>
      </w:r>
      <w:r w:rsidRPr="005570C4">
        <w:rPr>
          <w:vertAlign w:val="superscript"/>
          <w:lang w:eastAsia="en-GB"/>
        </w:rPr>
        <w:footnoteReference w:id="177"/>
      </w:r>
      <w:r w:rsidRPr="005570C4">
        <w:rPr>
          <w:lang w:eastAsia="en-GB"/>
        </w:rPr>
        <w:t xml:space="preserve"> </w:t>
      </w:r>
    </w:p>
    <w:p w14:paraId="1937D86D" w14:textId="6B456EFF" w:rsidR="005570C4" w:rsidRPr="005570C4" w:rsidRDefault="005570C4" w:rsidP="005570C4">
      <w:pPr>
        <w:pStyle w:val="RTBodyText"/>
        <w:rPr>
          <w:lang w:eastAsia="en-GB"/>
        </w:rPr>
      </w:pPr>
      <w:proofErr w:type="gramStart"/>
      <w:r w:rsidRPr="005570C4">
        <w:rPr>
          <w:lang w:eastAsia="en-GB"/>
        </w:rPr>
        <w:t>Soon thereafter, North Carolina legislators concerned by pregnant women crossing state lines to give birth in their state and evade punishment, proposed SB 297</w:t>
      </w:r>
      <w:r w:rsidR="00EC36EB">
        <w:rPr>
          <w:lang w:eastAsia="en-GB"/>
        </w:rPr>
        <w:t xml:space="preserve">; </w:t>
      </w:r>
      <w:r w:rsidRPr="005570C4">
        <w:rPr>
          <w:lang w:eastAsia="en-GB"/>
        </w:rPr>
        <w:t xml:space="preserve">a bill to criminalize drug use during pregnancy, copying </w:t>
      </w:r>
      <w:r w:rsidRPr="005570C4">
        <w:rPr>
          <w:lang w:eastAsia="en-GB"/>
        </w:rPr>
        <w:lastRenderedPageBreak/>
        <w:t>exact language from Tennessee’s criminal code.</w:t>
      </w:r>
      <w:proofErr w:type="gramEnd"/>
      <w:r w:rsidRPr="005570C4">
        <w:rPr>
          <w:vertAlign w:val="superscript"/>
          <w:lang w:eastAsia="en-GB"/>
        </w:rPr>
        <w:footnoteReference w:id="178"/>
      </w:r>
      <w:r w:rsidRPr="005570C4">
        <w:rPr>
          <w:lang w:eastAsia="en-GB"/>
        </w:rPr>
        <w:t xml:space="preserve"> Due to mobilization by medical professionals and advocates, this bill did not pass in 2015. Nevertheless, the </w:t>
      </w:r>
      <w:r w:rsidR="00337FA3">
        <w:rPr>
          <w:lang w:eastAsia="en-GB"/>
        </w:rPr>
        <w:t>b</w:t>
      </w:r>
      <w:r w:rsidRPr="005570C4">
        <w:rPr>
          <w:lang w:eastAsia="en-GB"/>
        </w:rPr>
        <w:t>ill’s proposal indicates the reverberating effect of the law.</w:t>
      </w:r>
    </w:p>
    <w:p w14:paraId="31F18328" w14:textId="77777777" w:rsidR="00BD4080" w:rsidRPr="00BD4080" w:rsidRDefault="00BD4080" w:rsidP="00BD4080">
      <w:pPr>
        <w:pStyle w:val="RTNumberedHeading"/>
      </w:pPr>
      <w:bookmarkStart w:id="34" w:name="_Toc482741435"/>
      <w:r w:rsidRPr="00BD4080">
        <w:t>Drug testing in healthcare settings</w:t>
      </w:r>
      <w:bookmarkEnd w:id="34"/>
    </w:p>
    <w:p w14:paraId="24E2A78D" w14:textId="77777777" w:rsidR="004B217C" w:rsidRDefault="00BD4080" w:rsidP="004B217C">
      <w:pPr>
        <w:pStyle w:val="RTBodyText"/>
      </w:pPr>
      <w:r w:rsidRPr="00F35BC4">
        <w:t xml:space="preserve">Amnesty International’s research indicates that a number of health and human rights concerns arise </w:t>
      </w:r>
      <w:r w:rsidR="00337FA3">
        <w:t xml:space="preserve">when </w:t>
      </w:r>
      <w:r w:rsidRPr="00F35BC4">
        <w:t xml:space="preserve">drug testing pregnant women.  </w:t>
      </w:r>
      <w:r w:rsidR="00337FA3">
        <w:t>N</w:t>
      </w:r>
      <w:r w:rsidRPr="00F35BC4">
        <w:t>urses do not always tell patients whether they are being tested</w:t>
      </w:r>
      <w:r w:rsidRPr="00EC36EB">
        <w:rPr>
          <w:vertAlign w:val="superscript"/>
        </w:rPr>
        <w:footnoteReference w:id="179"/>
      </w:r>
      <w:r w:rsidRPr="00F35BC4">
        <w:t>, in violation of the principle of informed consent</w:t>
      </w:r>
      <w:r>
        <w:t xml:space="preserve"> and privacy</w:t>
      </w:r>
      <w:r w:rsidRPr="00F35BC4">
        <w:t>.</w:t>
      </w:r>
      <w:r>
        <w:t xml:space="preserve"> Guidelines on screening or testing do not exist at the state or federal level</w:t>
      </w:r>
      <w:r w:rsidR="00337FA3">
        <w:t xml:space="preserve"> </w:t>
      </w:r>
      <w:r>
        <w:t>and academic researchers have found that hospitals frequently test without obtaining consent.</w:t>
      </w:r>
      <w:r w:rsidRPr="001F0D99">
        <w:rPr>
          <w:vertAlign w:val="superscript"/>
        </w:rPr>
        <w:footnoteReference w:id="180"/>
      </w:r>
    </w:p>
    <w:p w14:paraId="3CAFCD63" w14:textId="2642828C" w:rsidR="00BD4080" w:rsidRPr="00F35BC4" w:rsidRDefault="00BD4080" w:rsidP="004B217C">
      <w:pPr>
        <w:pStyle w:val="RTBodyText"/>
        <w:rPr>
          <w:color w:val="000000"/>
          <w:shd w:val="clear" w:color="auto" w:fill="FFFFFF"/>
        </w:rPr>
      </w:pPr>
      <w:r>
        <w:t xml:space="preserve">The American College of Obstetricians and </w:t>
      </w:r>
      <w:proofErr w:type="spellStart"/>
      <w:r>
        <w:t>Gynecologists</w:t>
      </w:r>
      <w:proofErr w:type="spellEnd"/>
      <w:r>
        <w:t xml:space="preserve"> recommends that urine drug testing is only performed with a patient’s consent, and that “pregnant women must be informed of the potential ramifications of a positive test result, including any mandatory reporting requirements.”</w:t>
      </w:r>
      <w:r w:rsidRPr="001F0D99">
        <w:rPr>
          <w:vertAlign w:val="superscript"/>
        </w:rPr>
        <w:footnoteReference w:id="181"/>
      </w:r>
      <w:r w:rsidRPr="001F0D99">
        <w:rPr>
          <w:vertAlign w:val="superscript"/>
        </w:rPr>
        <w:t xml:space="preserve"> </w:t>
      </w:r>
    </w:p>
    <w:p w14:paraId="5EB413EF" w14:textId="4C99B6EE" w:rsidR="003A264E" w:rsidRDefault="00BD4080" w:rsidP="00BD4080">
      <w:pPr>
        <w:pStyle w:val="RTBodyText"/>
        <w:rPr>
          <w:lang w:eastAsia="en-GB"/>
        </w:rPr>
      </w:pPr>
      <w:r w:rsidRPr="00BD4080">
        <w:rPr>
          <w:lang w:eastAsia="en-GB"/>
        </w:rPr>
        <w:t xml:space="preserve">A </w:t>
      </w:r>
      <w:proofErr w:type="spellStart"/>
      <w:r w:rsidRPr="00BD4080">
        <w:rPr>
          <w:lang w:eastAsia="en-GB"/>
        </w:rPr>
        <w:t>Labor</w:t>
      </w:r>
      <w:proofErr w:type="spellEnd"/>
      <w:r w:rsidRPr="00BD4080">
        <w:rPr>
          <w:lang w:eastAsia="en-GB"/>
        </w:rPr>
        <w:t xml:space="preserve"> and Delivery nurse told Amnesty International that</w:t>
      </w:r>
      <w:r>
        <w:rPr>
          <w:lang w:eastAsia="en-GB"/>
        </w:rPr>
        <w:t>:</w:t>
      </w:r>
    </w:p>
    <w:p w14:paraId="01B040E0" w14:textId="1723E885" w:rsidR="00BD4080" w:rsidRPr="00BD4080" w:rsidRDefault="00BD4080" w:rsidP="00BD4080">
      <w:pPr>
        <w:pStyle w:val="RTSmallQuoteText"/>
        <w:rPr>
          <w:lang w:eastAsia="en-GB"/>
        </w:rPr>
      </w:pPr>
      <w:r w:rsidRPr="00BD4080">
        <w:rPr>
          <w:lang w:eastAsia="en-GB"/>
        </w:rPr>
        <w:t>“Sometimes</w:t>
      </w:r>
      <w:r w:rsidR="00337FA3">
        <w:rPr>
          <w:lang w:eastAsia="en-GB"/>
        </w:rPr>
        <w:t>,</w:t>
      </w:r>
      <w:r w:rsidRPr="00BD4080">
        <w:rPr>
          <w:lang w:eastAsia="en-GB"/>
        </w:rPr>
        <w:t xml:space="preserve"> I’ll tell them the doctor ordered it, but they don’t have a choice. It’s at the doctor’s discretion. There isn’t a policy that I know of…</w:t>
      </w:r>
      <w:r w:rsidR="00337FA3">
        <w:rPr>
          <w:lang w:eastAsia="en-GB"/>
        </w:rPr>
        <w:t xml:space="preserve"> </w:t>
      </w:r>
      <w:r w:rsidRPr="00BD4080">
        <w:rPr>
          <w:lang w:eastAsia="en-GB"/>
        </w:rPr>
        <w:t>You probably have to get consent, but it’s not the practice.”</w:t>
      </w:r>
      <w:r w:rsidRPr="00BD4080">
        <w:rPr>
          <w:vertAlign w:val="superscript"/>
          <w:lang w:eastAsia="en-GB"/>
        </w:rPr>
        <w:footnoteReference w:id="182"/>
      </w:r>
      <w:r w:rsidRPr="00BD4080">
        <w:rPr>
          <w:lang w:eastAsia="en-GB"/>
        </w:rPr>
        <w:t xml:space="preserve"> </w:t>
      </w:r>
    </w:p>
    <w:p w14:paraId="5BE33181" w14:textId="6EC0CA7C" w:rsidR="00BD4080" w:rsidRPr="00BD4080" w:rsidRDefault="00BD4080" w:rsidP="00BD4080">
      <w:pPr>
        <w:pStyle w:val="RTBodyText"/>
        <w:rPr>
          <w:lang w:val="en-US" w:eastAsia="en-GB"/>
        </w:rPr>
      </w:pPr>
      <w:r w:rsidRPr="00BD4080">
        <w:rPr>
          <w:lang w:val="en-US" w:eastAsia="en-GB"/>
        </w:rPr>
        <w:t>A neonatal intensive care nurse similarly told Amnesty International that she was unsure patients knew about the report</w:t>
      </w:r>
      <w:r w:rsidR="00E7633A">
        <w:rPr>
          <w:lang w:val="en-US" w:eastAsia="en-GB"/>
        </w:rPr>
        <w:t>ing</w:t>
      </w:r>
      <w:r w:rsidRPr="00BD4080">
        <w:rPr>
          <w:lang w:val="en-US" w:eastAsia="en-GB"/>
        </w:rPr>
        <w:t xml:space="preserve"> of their results to child protective services:</w:t>
      </w:r>
    </w:p>
    <w:p w14:paraId="2B7AF8F7" w14:textId="3B9BB4DC" w:rsidR="00BD4080" w:rsidRPr="001F0D99" w:rsidRDefault="00BD4080" w:rsidP="001F0D99">
      <w:pPr>
        <w:pStyle w:val="RTSmallQuoteText"/>
      </w:pPr>
      <w:r w:rsidRPr="001F0D99">
        <w:t>“I don’t think we told the mothers that we were reporting. Maybe the doctors did but the nurses didn’t. I don’t even know if they knew it was reported”</w:t>
      </w:r>
      <w:r w:rsidR="00337FA3">
        <w:t>.</w:t>
      </w:r>
      <w:r w:rsidRPr="00EC36EB">
        <w:rPr>
          <w:vertAlign w:val="superscript"/>
        </w:rPr>
        <w:footnoteReference w:id="183"/>
      </w:r>
    </w:p>
    <w:p w14:paraId="2AEE8968" w14:textId="465B6124" w:rsidR="00BD4080" w:rsidRPr="001F0D99" w:rsidRDefault="00E7633A" w:rsidP="001F0D99">
      <w:pPr>
        <w:pStyle w:val="RTBodyText"/>
      </w:pPr>
      <w:r>
        <w:t xml:space="preserve">This </w:t>
      </w:r>
      <w:r w:rsidR="00BD4080" w:rsidRPr="001F0D99">
        <w:t xml:space="preserve">nurse told Amnesty International that when </w:t>
      </w:r>
      <w:r w:rsidR="00337FA3">
        <w:t xml:space="preserve">one </w:t>
      </w:r>
      <w:r w:rsidR="00BD4080" w:rsidRPr="001F0D99">
        <w:t xml:space="preserve">new mother found out she was being reported for a positive test, she ran away </w:t>
      </w:r>
      <w:r w:rsidR="00337FA3">
        <w:t xml:space="preserve">from </w:t>
      </w:r>
      <w:r w:rsidR="00BD4080" w:rsidRPr="001F0D99">
        <w:t xml:space="preserve">the hospital. Meanwhile, her </w:t>
      </w:r>
      <w:proofErr w:type="spellStart"/>
      <w:r w:rsidR="00BD4080" w:rsidRPr="001F0D99">
        <w:t>newborn</w:t>
      </w:r>
      <w:proofErr w:type="spellEnd"/>
      <w:r w:rsidR="00BD4080" w:rsidRPr="001F0D99">
        <w:t xml:space="preserve"> required life-saving surgery.</w:t>
      </w:r>
      <w:r w:rsidR="00BD4080" w:rsidRPr="001F0D99">
        <w:rPr>
          <w:vertAlign w:val="superscript"/>
        </w:rPr>
        <w:footnoteReference w:id="184"/>
      </w:r>
      <w:r w:rsidR="00BD4080" w:rsidRPr="001F0D99">
        <w:rPr>
          <w:vertAlign w:val="superscript"/>
        </w:rPr>
        <w:t xml:space="preserve"> </w:t>
      </w:r>
      <w:r w:rsidR="00BD4080" w:rsidRPr="001F0D99">
        <w:t>The same nurse told us about another new mother who knew she was being reported and then left the hospital.</w:t>
      </w:r>
      <w:r w:rsidR="00BD4080" w:rsidRPr="001F0D99">
        <w:rPr>
          <w:vertAlign w:val="superscript"/>
        </w:rPr>
        <w:footnoteReference w:id="185"/>
      </w:r>
      <w:r w:rsidR="00BD4080" w:rsidRPr="001F0D99">
        <w:rPr>
          <w:vertAlign w:val="superscript"/>
        </w:rPr>
        <w:t xml:space="preserve"> </w:t>
      </w:r>
    </w:p>
    <w:p w14:paraId="1C1A3034" w14:textId="6A6592EC" w:rsidR="00BD4080" w:rsidRPr="001F0D99" w:rsidRDefault="00BD4080" w:rsidP="001F0D99">
      <w:pPr>
        <w:pStyle w:val="RTBodyText"/>
      </w:pPr>
      <w:r w:rsidRPr="001F0D99">
        <w:t xml:space="preserve">A </w:t>
      </w:r>
      <w:proofErr w:type="spellStart"/>
      <w:r w:rsidRPr="001F0D99">
        <w:t>Labor</w:t>
      </w:r>
      <w:proofErr w:type="spellEnd"/>
      <w:r w:rsidRPr="001F0D99">
        <w:t xml:space="preserve"> and Delivery Nurse told Amnesty International that some colleagues were hesitant to screen for drug use because they d</w:t>
      </w:r>
      <w:r w:rsidR="00337FA3">
        <w:t>id</w:t>
      </w:r>
      <w:r w:rsidRPr="001F0D99">
        <w:t xml:space="preserve"> not agree with the law, or d</w:t>
      </w:r>
      <w:r w:rsidR="00337FA3">
        <w:t>id</w:t>
      </w:r>
      <w:r w:rsidRPr="001F0D99">
        <w:t xml:space="preserve"> not want to be bothered with the administrative requirements that arise with a positive test result.</w:t>
      </w:r>
      <w:r w:rsidRPr="001F0D99">
        <w:rPr>
          <w:vertAlign w:val="superscript"/>
        </w:rPr>
        <w:footnoteReference w:id="186"/>
      </w:r>
      <w:r w:rsidRPr="001F0D99">
        <w:rPr>
          <w:vertAlign w:val="superscript"/>
        </w:rPr>
        <w:t xml:space="preserve"> </w:t>
      </w:r>
      <w:r w:rsidRPr="001F0D99">
        <w:t xml:space="preserve">However, an accurate assessment of drug exposure can be medically necessary for providing the best care to a </w:t>
      </w:r>
      <w:proofErr w:type="spellStart"/>
      <w:r w:rsidRPr="001F0D99">
        <w:t>newborn</w:t>
      </w:r>
      <w:proofErr w:type="spellEnd"/>
      <w:r w:rsidRPr="001F0D99">
        <w:t xml:space="preserve"> with a health condition.</w:t>
      </w:r>
      <w:r w:rsidRPr="00B418F0">
        <w:rPr>
          <w:vertAlign w:val="superscript"/>
        </w:rPr>
        <w:footnoteReference w:id="187"/>
      </w:r>
      <w:r w:rsidRPr="001F0D99">
        <w:t xml:space="preserve"> Removing barriers to open and honest communication between doctors and patients ultimately promotes maternal health, and the threat of criminalization stands in the way. </w:t>
      </w:r>
    </w:p>
    <w:p w14:paraId="2CFBBFC4" w14:textId="71D9B484" w:rsidR="00BD4080" w:rsidRDefault="001F0D99" w:rsidP="001F0D99">
      <w:pPr>
        <w:pStyle w:val="RTTitlenumbered"/>
      </w:pPr>
      <w:bookmarkStart w:id="35" w:name="_Toc482741436"/>
      <w:r w:rsidRPr="001F0D99">
        <w:lastRenderedPageBreak/>
        <w:t>alabama</w:t>
      </w:r>
      <w:r w:rsidR="00F154B5">
        <w:t xml:space="preserve"> “chemical endangerment” law</w:t>
      </w:r>
      <w:bookmarkEnd w:id="35"/>
    </w:p>
    <w:tbl>
      <w:tblPr>
        <w:tblStyle w:val="TableGrid"/>
        <w:tblW w:w="8278" w:type="dxa"/>
        <w:tblBorders>
          <w:top w:val="none" w:sz="0" w:space="0" w:color="auto"/>
          <w:left w:val="single" w:sz="48" w:space="0" w:color="000000" w:themeColor="text1"/>
          <w:bottom w:val="none" w:sz="0" w:space="0" w:color="auto"/>
          <w:right w:val="none" w:sz="0" w:space="0" w:color="auto"/>
          <w:insideH w:val="none" w:sz="0" w:space="0" w:color="auto"/>
          <w:insideV w:val="none" w:sz="0" w:space="0" w:color="auto"/>
        </w:tblBorders>
        <w:tblLayout w:type="fixed"/>
        <w:tblCellMar>
          <w:top w:w="113" w:type="dxa"/>
          <w:left w:w="227" w:type="dxa"/>
          <w:right w:w="0" w:type="dxa"/>
        </w:tblCellMar>
        <w:tblLook w:val="04A0" w:firstRow="1" w:lastRow="0" w:firstColumn="1" w:lastColumn="0" w:noHBand="0" w:noVBand="1"/>
      </w:tblPr>
      <w:tblGrid>
        <w:gridCol w:w="8278"/>
      </w:tblGrid>
      <w:tr w:rsidR="00C81EC9" w:rsidRPr="00C06C22" w14:paraId="7083B2E1" w14:textId="77777777" w:rsidTr="00462C20">
        <w:tc>
          <w:tcPr>
            <w:tcW w:w="8278" w:type="dxa"/>
          </w:tcPr>
          <w:p w14:paraId="51457419" w14:textId="12993594" w:rsidR="00C81EC9" w:rsidRPr="00C06C22" w:rsidRDefault="00C81EC9" w:rsidP="002E7B1B">
            <w:pPr>
              <w:pStyle w:val="RTQuoteText"/>
            </w:pPr>
            <w:r w:rsidRPr="00563978">
              <w:t xml:space="preserve">“In my town, I was worried about going to the doctor because if you test positive [for drugs], bam, you’re slapped with a </w:t>
            </w:r>
            <w:r w:rsidR="00D62992">
              <w:t>‘</w:t>
            </w:r>
            <w:r w:rsidRPr="00563978">
              <w:t>chemical endangerment</w:t>
            </w:r>
            <w:r w:rsidR="00D62992">
              <w:t>’</w:t>
            </w:r>
            <w:r w:rsidRPr="00563978">
              <w:t xml:space="preserve"> charge.</w:t>
            </w:r>
            <w:r w:rsidR="002E7B1B">
              <w:t>”</w:t>
            </w:r>
            <w:r w:rsidRPr="00563978">
              <w:t xml:space="preserve"> </w:t>
            </w:r>
          </w:p>
        </w:tc>
      </w:tr>
      <w:tr w:rsidR="00C81EC9" w:rsidRPr="00C06C22" w14:paraId="46F6B0D2" w14:textId="77777777" w:rsidTr="00462C20">
        <w:tc>
          <w:tcPr>
            <w:tcW w:w="8278" w:type="dxa"/>
          </w:tcPr>
          <w:p w14:paraId="07724CBD" w14:textId="45E114A0" w:rsidR="00C81EC9" w:rsidRPr="00C06C22" w:rsidRDefault="00C81EC9" w:rsidP="00462C20">
            <w:pPr>
              <w:pStyle w:val="RTSourceText"/>
            </w:pPr>
            <w:r>
              <w:t>Woman in court-mandated</w:t>
            </w:r>
            <w:r w:rsidRPr="00C81EC9">
              <w:t xml:space="preserve"> </w:t>
            </w:r>
            <w:r>
              <w:t>treatment, Birmingham, Alabama, 19 March 2015</w:t>
            </w:r>
          </w:p>
        </w:tc>
      </w:tr>
    </w:tbl>
    <w:p w14:paraId="0FCD66B4" w14:textId="77777777" w:rsidR="00F154B5" w:rsidRDefault="00F154B5" w:rsidP="00F154B5">
      <w:pPr>
        <w:pStyle w:val="RTBodyText"/>
        <w:rPr>
          <w:lang w:eastAsia="en-GB"/>
        </w:rPr>
      </w:pPr>
    </w:p>
    <w:p w14:paraId="0555DBD3" w14:textId="17AE931B" w:rsidR="00C81EC9" w:rsidRPr="00C81EC9" w:rsidRDefault="00C81EC9" w:rsidP="00C81EC9">
      <w:pPr>
        <w:pStyle w:val="RTBodyText"/>
        <w:rPr>
          <w:lang w:eastAsia="en-GB"/>
        </w:rPr>
      </w:pPr>
      <w:r w:rsidRPr="00C81EC9">
        <w:rPr>
          <w:lang w:eastAsia="en-GB"/>
        </w:rPr>
        <w:t>Over the past decade, Alabama has enforced a child abuse law aimed at protecting children from environments with controlled substances against pregnant women for drug use during pregnancy. Since 2006, at least 479 women have been charged with the crime of “chemical endangerment” for using a controlled substance while pregnant.</w:t>
      </w:r>
      <w:r w:rsidRPr="00C81EC9">
        <w:rPr>
          <w:vertAlign w:val="superscript"/>
          <w:lang w:eastAsia="en-GB"/>
        </w:rPr>
        <w:footnoteReference w:id="188"/>
      </w:r>
      <w:r w:rsidRPr="00C81EC9">
        <w:rPr>
          <w:lang w:eastAsia="en-GB"/>
        </w:rPr>
        <w:t xml:space="preserve"> Charges are frequently brought after pregna</w:t>
      </w:r>
      <w:r w:rsidR="001F3AE3">
        <w:rPr>
          <w:lang w:eastAsia="en-GB"/>
        </w:rPr>
        <w:t xml:space="preserve">nt women or their </w:t>
      </w:r>
      <w:proofErr w:type="spellStart"/>
      <w:r w:rsidR="001F3AE3">
        <w:rPr>
          <w:lang w:eastAsia="en-GB"/>
        </w:rPr>
        <w:t>newborn</w:t>
      </w:r>
      <w:r w:rsidR="004070E1">
        <w:rPr>
          <w:lang w:eastAsia="en-GB"/>
        </w:rPr>
        <w:t>s</w:t>
      </w:r>
      <w:proofErr w:type="spellEnd"/>
      <w:r w:rsidRPr="00C81EC9">
        <w:rPr>
          <w:lang w:eastAsia="en-GB"/>
        </w:rPr>
        <w:t xml:space="preserve"> test positive for illegal drugs, though the law is vaguely written and did not, until 2016, exclude prescription drugs when used as directed. This type of law enforcement can discourage women from seeking healthcare, including vital prenatal care, and increase stigma and fear among those in communities targeted by the law. </w:t>
      </w:r>
    </w:p>
    <w:p w14:paraId="49DECE05" w14:textId="757D020E" w:rsidR="00C81EC9" w:rsidRPr="00C81EC9" w:rsidRDefault="00C81EC9" w:rsidP="00C81EC9">
      <w:pPr>
        <w:pStyle w:val="RTBodyText"/>
        <w:rPr>
          <w:lang w:eastAsia="en-GB"/>
        </w:rPr>
      </w:pPr>
      <w:r w:rsidRPr="00C81EC9">
        <w:rPr>
          <w:lang w:eastAsia="en-GB"/>
        </w:rPr>
        <w:t>Amnesty International learned from women who used drugs while pregnant, that women are frequently tested for drugs without their knowledge or consent, and then sent to jail or diverted through “drug court” programs into residential treatment programs far from their homes.</w:t>
      </w:r>
      <w:r w:rsidRPr="00C81EC9">
        <w:rPr>
          <w:vertAlign w:val="superscript"/>
          <w:lang w:eastAsia="en-GB"/>
        </w:rPr>
        <w:footnoteReference w:id="189"/>
      </w:r>
      <w:r w:rsidRPr="00C81EC9">
        <w:rPr>
          <w:lang w:eastAsia="en-GB"/>
        </w:rPr>
        <w:t xml:space="preserve"> Healthcare providers work closely with law enforcement and child welfare officials during this process, creating the potential for conflicts between the obligation to provide patients with confidential treatment and the obligation to report patient information </w:t>
      </w:r>
      <w:r w:rsidR="004070E1">
        <w:rPr>
          <w:lang w:eastAsia="en-GB"/>
        </w:rPr>
        <w:t xml:space="preserve">to </w:t>
      </w:r>
      <w:r w:rsidRPr="00C81EC9">
        <w:rPr>
          <w:lang w:eastAsia="en-GB"/>
        </w:rPr>
        <w:t>the state.</w:t>
      </w:r>
      <w:r w:rsidRPr="00C81EC9">
        <w:rPr>
          <w:vertAlign w:val="superscript"/>
          <w:lang w:eastAsia="en-GB"/>
        </w:rPr>
        <w:footnoteReference w:id="190"/>
      </w:r>
      <w:r w:rsidRPr="00C81EC9">
        <w:rPr>
          <w:lang w:eastAsia="en-GB"/>
        </w:rPr>
        <w:t xml:space="preserve"> Given the vague and overbroad nature of this law, prosecutors have great discretion in determining how to apply the law.</w:t>
      </w:r>
    </w:p>
    <w:p w14:paraId="46E801A3" w14:textId="2FE8AEE9" w:rsidR="00C81EC9" w:rsidRPr="00F154B5" w:rsidRDefault="00C81EC9" w:rsidP="00F154B5">
      <w:pPr>
        <w:pStyle w:val="RTBodyText"/>
        <w:rPr>
          <w:lang w:eastAsia="en-GB"/>
        </w:rPr>
      </w:pPr>
      <w:r w:rsidRPr="00C81EC9">
        <w:rPr>
          <w:lang w:eastAsia="en-GB"/>
        </w:rPr>
        <w:t xml:space="preserve">The </w:t>
      </w:r>
      <w:r w:rsidR="004070E1">
        <w:rPr>
          <w:lang w:eastAsia="en-GB"/>
        </w:rPr>
        <w:t xml:space="preserve">way </w:t>
      </w:r>
      <w:r w:rsidRPr="00C81EC9">
        <w:rPr>
          <w:lang w:eastAsia="en-GB"/>
        </w:rPr>
        <w:t xml:space="preserve">in which Alabama’s “Chemical Endangerment” law </w:t>
      </w:r>
      <w:r w:rsidR="004070E1">
        <w:rPr>
          <w:lang w:eastAsia="en-GB"/>
        </w:rPr>
        <w:t xml:space="preserve">is applied </w:t>
      </w:r>
      <w:r w:rsidRPr="00C81EC9">
        <w:rPr>
          <w:lang w:eastAsia="en-GB"/>
        </w:rPr>
        <w:t xml:space="preserve">is not straightforward. It involves the interaction of healthcare providers, multiple government agencies and private drug treatment facilities. Amnesty International interviewed healthcare providers, drug treatment providers, law enforcement officers, </w:t>
      </w:r>
      <w:r w:rsidRPr="00C81EC9">
        <w:rPr>
          <w:lang w:eastAsia="en-GB"/>
        </w:rPr>
        <w:lastRenderedPageBreak/>
        <w:t>child protective services officials and women impacted by the law in order to understand their experiences under this law.</w:t>
      </w:r>
    </w:p>
    <w:p w14:paraId="0EFF43D3" w14:textId="32F8D689" w:rsidR="00F154B5" w:rsidRDefault="004070E1" w:rsidP="00C81EC9">
      <w:pPr>
        <w:pStyle w:val="RTNumberedHeading"/>
      </w:pPr>
      <w:bookmarkStart w:id="36" w:name="_Toc482741437"/>
      <w:r>
        <w:t>Application of the law</w:t>
      </w:r>
      <w:bookmarkEnd w:id="36"/>
      <w:r w:rsidR="00A2020F">
        <w:t xml:space="preserve">          </w:t>
      </w:r>
    </w:p>
    <w:p w14:paraId="39214158" w14:textId="3996B40D" w:rsidR="00C81EC9" w:rsidRPr="00563978" w:rsidRDefault="00C81EC9" w:rsidP="00C81EC9">
      <w:pPr>
        <w:pStyle w:val="AIBodyText"/>
      </w:pPr>
      <w:r w:rsidRPr="00563978">
        <w:t>In 2006, Alabama passed a law making it a crime to expose a child to an “environment” in which they could be exposed to a “controlled substance</w:t>
      </w:r>
      <w:r>
        <w:t>,</w:t>
      </w:r>
      <w:r w:rsidRPr="00563978">
        <w:t>”</w:t>
      </w:r>
      <w:r>
        <w:t xml:space="preserve"> commonly referred to as the “chemical endangerment” law (Alabama Code Section 26-15-3.2).</w:t>
      </w:r>
      <w:r w:rsidRPr="00563978">
        <w:rPr>
          <w:rStyle w:val="FootnoteReference"/>
          <w:rFonts w:ascii="Amnesty Trade Gothic" w:hAnsi="Amnesty Trade Gothic"/>
          <w:sz w:val="23"/>
          <w:szCs w:val="23"/>
        </w:rPr>
        <w:footnoteReference w:id="191"/>
      </w:r>
      <w:r w:rsidRPr="00563978">
        <w:t xml:space="preserve"> At the time, there was great concern about the manufacture and use of methamphetamine drugs in private homes. Under the law, a person commits the crime of “chemical endangerment” when they expose a child to illegal drugs or drug paraphernalia, with penalties ranging from one year in the case of a positive drug test to a maximum of life in prison.</w:t>
      </w:r>
      <w:r w:rsidRPr="00563978">
        <w:rPr>
          <w:sz w:val="15"/>
          <w:szCs w:val="15"/>
        </w:rPr>
        <w:t xml:space="preserve"> </w:t>
      </w:r>
      <w:r w:rsidRPr="00563978">
        <w:t>However, prosecutors</w:t>
      </w:r>
      <w:r w:rsidRPr="00563978">
        <w:rPr>
          <w:sz w:val="15"/>
          <w:szCs w:val="15"/>
        </w:rPr>
        <w:t xml:space="preserve"> </w:t>
      </w:r>
      <w:r w:rsidRPr="00563978">
        <w:t>started using th</w:t>
      </w:r>
      <w:r>
        <w:t>is</w:t>
      </w:r>
      <w:r w:rsidRPr="00563978">
        <w:t xml:space="preserve"> law to charge women who tested positive for drugs whi</w:t>
      </w:r>
      <w:r>
        <w:t xml:space="preserve">le pregnant and delivered </w:t>
      </w:r>
      <w:proofErr w:type="spellStart"/>
      <w:r>
        <w:t>newborns</w:t>
      </w:r>
      <w:proofErr w:type="spellEnd"/>
      <w:r w:rsidRPr="00563978">
        <w:t xml:space="preserve"> with drugs in their systems</w:t>
      </w:r>
      <w:r w:rsidR="004070E1">
        <w:t xml:space="preserve">. This was based on the premise </w:t>
      </w:r>
      <w:r w:rsidRPr="00563978">
        <w:t xml:space="preserve">that the term “child” includes a </w:t>
      </w:r>
      <w:proofErr w:type="spellStart"/>
      <w:r w:rsidRPr="00563978">
        <w:t>fetus</w:t>
      </w:r>
      <w:proofErr w:type="spellEnd"/>
      <w:r w:rsidRPr="00563978">
        <w:t xml:space="preserve"> and </w:t>
      </w:r>
      <w:r w:rsidR="004070E1">
        <w:t xml:space="preserve">that </w:t>
      </w:r>
      <w:r w:rsidRPr="00563978">
        <w:t xml:space="preserve">the womb was an “environment.” </w:t>
      </w:r>
      <w:r w:rsidR="004070E1">
        <w:t>I</w:t>
      </w:r>
      <w:r>
        <w:t>n practice, a</w:t>
      </w:r>
      <w:r w:rsidRPr="00563978">
        <w:t xml:space="preserve"> law </w:t>
      </w:r>
      <w:r>
        <w:t xml:space="preserve">that was passed </w:t>
      </w:r>
      <w:r w:rsidRPr="00563978">
        <w:t xml:space="preserve">to protect children from drugs was </w:t>
      </w:r>
      <w:r>
        <w:t xml:space="preserve">essentially expanded and </w:t>
      </w:r>
      <w:r w:rsidRPr="00563978">
        <w:t>reinterpreted</w:t>
      </w:r>
      <w:r>
        <w:t xml:space="preserve"> by prosecutors</w:t>
      </w:r>
      <w:r w:rsidRPr="00563978">
        <w:t xml:space="preserve"> to criminalize pregnant women. </w:t>
      </w:r>
    </w:p>
    <w:p w14:paraId="4BD4AE26" w14:textId="253BEFD8" w:rsidR="00C81EC9" w:rsidRDefault="00C81EC9" w:rsidP="00C81EC9">
      <w:pPr>
        <w:pStyle w:val="AIBodyText"/>
      </w:pPr>
      <w:r w:rsidRPr="00563978">
        <w:t>In 2013 and 2014, three women appealed their convictions to the Alabama Supreme Court, arguing that the child abuse law did not apply to them</w:t>
      </w:r>
      <w:r>
        <w:t xml:space="preserve"> for drug use while pregnant</w:t>
      </w:r>
      <w:r w:rsidRPr="00563978">
        <w:t>.</w:t>
      </w:r>
      <w:r w:rsidRPr="00563978">
        <w:rPr>
          <w:rStyle w:val="FootnoteReference"/>
          <w:rFonts w:ascii="Amnesty Trade Gothic" w:hAnsi="Amnesty Trade Gothic"/>
        </w:rPr>
        <w:footnoteReference w:id="192"/>
      </w:r>
      <w:r w:rsidRPr="00563978">
        <w:t xml:space="preserve"> The Court, however, held that the plain meaning of the word “child” include</w:t>
      </w:r>
      <w:r w:rsidR="004070E1">
        <w:t>d</w:t>
      </w:r>
      <w:r w:rsidRPr="00563978">
        <w:t xml:space="preserve"> a </w:t>
      </w:r>
      <w:proofErr w:type="spellStart"/>
      <w:r w:rsidRPr="00563978">
        <w:t>fetus</w:t>
      </w:r>
      <w:proofErr w:type="spellEnd"/>
      <w:r w:rsidRPr="00563978">
        <w:t>, whether viable or not, empowering some law enforcement officials to charge pregnant women in their jurisdictions.</w:t>
      </w:r>
      <w:r w:rsidRPr="00563978">
        <w:rPr>
          <w:rStyle w:val="FootnoteReference"/>
          <w:rFonts w:ascii="Amnesty Trade Gothic" w:hAnsi="Amnesty Trade Gothic"/>
        </w:rPr>
        <w:footnoteReference w:id="193"/>
      </w:r>
      <w:r w:rsidRPr="00563978">
        <w:t xml:space="preserve"> </w:t>
      </w:r>
    </w:p>
    <w:p w14:paraId="3929D833" w14:textId="7C639F1B" w:rsidR="00C81EC9" w:rsidRDefault="00C81EC9" w:rsidP="00C81EC9">
      <w:pPr>
        <w:pStyle w:val="AIBodyText"/>
      </w:pPr>
      <w:r w:rsidRPr="00563978">
        <w:t>Brian White,</w:t>
      </w:r>
      <w:r>
        <w:t xml:space="preserve"> an attorney who led a </w:t>
      </w:r>
      <w:r w:rsidRPr="00563978">
        <w:t>challeng</w:t>
      </w:r>
      <w:r>
        <w:t>e</w:t>
      </w:r>
      <w:r w:rsidRPr="00563978">
        <w:t xml:space="preserve"> </w:t>
      </w:r>
      <w:r>
        <w:t xml:space="preserve">to </w:t>
      </w:r>
      <w:r w:rsidRPr="00563978">
        <w:t xml:space="preserve">the law, told Amnesty International that the </w:t>
      </w:r>
      <w:r>
        <w:t xml:space="preserve">original </w:t>
      </w:r>
      <w:r w:rsidRPr="00563978">
        <w:t>legislative intent was not</w:t>
      </w:r>
      <w:r>
        <w:t xml:space="preserve"> </w:t>
      </w:r>
      <w:r w:rsidRPr="00563978">
        <w:t xml:space="preserve">to target pregnant women and that </w:t>
      </w:r>
      <w:r>
        <w:t>“</w:t>
      </w:r>
      <w:r w:rsidRPr="00563978">
        <w:t>the court’s ideological interpretation was nowhere on the radar.”</w:t>
      </w:r>
      <w:r w:rsidRPr="00563978">
        <w:rPr>
          <w:rStyle w:val="FootnoteReference"/>
          <w:rFonts w:ascii="Amnesty Trade Gothic" w:hAnsi="Amnesty Trade Gothic"/>
        </w:rPr>
        <w:footnoteReference w:id="194"/>
      </w:r>
    </w:p>
    <w:p w14:paraId="497D04F1" w14:textId="77777777" w:rsidR="00C81EC9" w:rsidRPr="00563978" w:rsidRDefault="00C81EC9" w:rsidP="00C81EC9">
      <w:pPr>
        <w:pStyle w:val="AIBodyText"/>
      </w:pPr>
    </w:p>
    <w:tbl>
      <w:tblPr>
        <w:tblStyle w:val="TableGrid"/>
        <w:tblW w:w="8278" w:type="dxa"/>
        <w:tblBorders>
          <w:top w:val="none" w:sz="0" w:space="0" w:color="auto"/>
          <w:left w:val="single" w:sz="48" w:space="0" w:color="808080" w:themeColor="text2"/>
          <w:bottom w:val="none" w:sz="0" w:space="0" w:color="auto"/>
          <w:right w:val="none" w:sz="0" w:space="0" w:color="auto"/>
          <w:insideH w:val="none" w:sz="0" w:space="0" w:color="auto"/>
          <w:insideV w:val="none" w:sz="0" w:space="0" w:color="auto"/>
        </w:tblBorders>
        <w:tblCellMar>
          <w:top w:w="113" w:type="dxa"/>
          <w:left w:w="227" w:type="dxa"/>
          <w:right w:w="0" w:type="dxa"/>
        </w:tblCellMar>
        <w:tblLook w:val="04A0" w:firstRow="1" w:lastRow="0" w:firstColumn="1" w:lastColumn="0" w:noHBand="0" w:noVBand="1"/>
      </w:tblPr>
      <w:tblGrid>
        <w:gridCol w:w="862"/>
        <w:gridCol w:w="7416"/>
      </w:tblGrid>
      <w:tr w:rsidR="00462C20" w:rsidRPr="00C06C22" w14:paraId="1732154A" w14:textId="77777777" w:rsidTr="001636E1">
        <w:trPr>
          <w:trHeight w:val="499"/>
        </w:trPr>
        <w:tc>
          <w:tcPr>
            <w:tcW w:w="862" w:type="dxa"/>
          </w:tcPr>
          <w:p w14:paraId="3A90C076" w14:textId="77777777" w:rsidR="00462C20" w:rsidRPr="00C06C22" w:rsidRDefault="00462C20" w:rsidP="001636E1">
            <w:bookmarkStart w:id="37" w:name="Text3"/>
            <w:r w:rsidRPr="00C06C22">
              <w:rPr>
                <w:noProof/>
                <w:lang w:val="fr-CA" w:eastAsia="zh-CN"/>
              </w:rPr>
              <w:drawing>
                <wp:anchor distT="0" distB="0" distL="114300" distR="114300" simplePos="0" relativeHeight="251673088" behindDoc="1" locked="0" layoutInCell="1" allowOverlap="1" wp14:anchorId="4F7F6946" wp14:editId="65F68D93">
                  <wp:simplePos x="0" y="0"/>
                  <wp:positionH relativeFrom="page">
                    <wp:posOffset>75062</wp:posOffset>
                  </wp:positionH>
                  <wp:positionV relativeFrom="page">
                    <wp:posOffset>-142611</wp:posOffset>
                  </wp:positionV>
                  <wp:extent cx="367030" cy="443230"/>
                  <wp:effectExtent l="0" t="0" r="0" b="0"/>
                  <wp:wrapNone/>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toreplace.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67030" cy="44323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cx2="http://schemas.microsoft.com/office/drawing/2015/10/21/chartex" xmlns:cx1="http://schemas.microsoft.com/office/drawing/2015/9/8/chartex" xmlns:cx="http://schemas.microsoft.com/office/drawing/2014/chartex" xmlns:w15="http://schemas.microsoft.com/office/word/2012/wordml"/>
                            </a:ext>
                          </a:extLst>
                        </pic:spPr>
                      </pic:pic>
                    </a:graphicData>
                  </a:graphic>
                </wp:anchor>
              </w:drawing>
            </w:r>
          </w:p>
        </w:tc>
        <w:bookmarkEnd w:id="37"/>
        <w:tc>
          <w:tcPr>
            <w:tcW w:w="7416" w:type="dxa"/>
          </w:tcPr>
          <w:p w14:paraId="5E344B1A" w14:textId="6FB6088D" w:rsidR="00462C20" w:rsidRPr="00C06C22" w:rsidRDefault="00462C20" w:rsidP="00462C20">
            <w:pPr>
              <w:pStyle w:val="RTSmallheadingCAPS"/>
            </w:pPr>
            <w:r>
              <w:t>laurie</w:t>
            </w:r>
          </w:p>
        </w:tc>
      </w:tr>
      <w:tr w:rsidR="00462C20" w:rsidRPr="00C06C22" w14:paraId="58B9159F" w14:textId="77777777" w:rsidTr="001636E1">
        <w:tc>
          <w:tcPr>
            <w:tcW w:w="8278" w:type="dxa"/>
            <w:gridSpan w:val="2"/>
          </w:tcPr>
          <w:p w14:paraId="1D63CBF7" w14:textId="79D4F5F8" w:rsidR="00462C20" w:rsidRPr="00462C20" w:rsidRDefault="00462C20" w:rsidP="00462C20">
            <w:pPr>
              <w:pStyle w:val="RTBodyText"/>
            </w:pPr>
            <w:r w:rsidRPr="00462C20">
              <w:t>Laurie, a 23-year old woman in residential drug treatment</w:t>
            </w:r>
            <w:r w:rsidR="004070E1">
              <w:t>,</w:t>
            </w:r>
            <w:r w:rsidRPr="00462C20">
              <w:t xml:space="preserve"> was taking anxiety medications prescribed by her obstetrician and she also used </w:t>
            </w:r>
            <w:r w:rsidR="004070E1">
              <w:t xml:space="preserve">the </w:t>
            </w:r>
            <w:r w:rsidR="004070E1" w:rsidRPr="00462C20">
              <w:t xml:space="preserve">illegal drug </w:t>
            </w:r>
            <w:r w:rsidRPr="00462C20">
              <w:t>methamphetamine</w:t>
            </w:r>
            <w:r w:rsidR="004070E1">
              <w:t xml:space="preserve"> </w:t>
            </w:r>
            <w:r w:rsidRPr="00462C20">
              <w:t>once</w:t>
            </w:r>
            <w:r w:rsidR="004070E1">
              <w:t xml:space="preserve"> </w:t>
            </w:r>
            <w:r w:rsidRPr="00462C20">
              <w:t>while pregnant. She went for regular obstetrical care and was tested for drugs throughout her pregnancy.</w:t>
            </w:r>
          </w:p>
          <w:p w14:paraId="1894850B" w14:textId="69F252EF" w:rsidR="00462C20" w:rsidRPr="00462C20" w:rsidRDefault="00462C20" w:rsidP="00462C20">
            <w:pPr>
              <w:pStyle w:val="RTBodyText"/>
            </w:pPr>
            <w:r w:rsidRPr="00462C20">
              <w:t xml:space="preserve">“I was going to an obstetrics clinic at a hospital in Birmingham. That clinic was giving me the prescriptions. The doctor knew I was an addict when I got there. They asked me had you ever had a drug addiction. I said yeah. He took me off my anxiety medication and put me on an opiate. It just made my addiction a whole lot worse. Whole lot worse. I asked him if it was alright to take this while pregnant. He said it was fine. Why I did </w:t>
            </w:r>
            <w:r w:rsidR="007C22CD" w:rsidRPr="00462C20">
              <w:t>methamphetamine</w:t>
            </w:r>
            <w:r w:rsidRPr="00462C20">
              <w:t xml:space="preserve"> when was </w:t>
            </w:r>
            <w:r w:rsidR="004070E1">
              <w:t>five</w:t>
            </w:r>
            <w:r w:rsidRPr="00462C20">
              <w:t xml:space="preserve"> months pregnant</w:t>
            </w:r>
            <w:r w:rsidR="004070E1">
              <w:t>,</w:t>
            </w:r>
            <w:r w:rsidRPr="00462C20">
              <w:t xml:space="preserve"> I have no </w:t>
            </w:r>
            <w:proofErr w:type="gramStart"/>
            <w:r w:rsidRPr="00462C20">
              <w:t>idea.</w:t>
            </w:r>
            <w:proofErr w:type="gramEnd"/>
            <w:r w:rsidRPr="00462C20">
              <w:t xml:space="preserve"> I don’t know.” </w:t>
            </w:r>
          </w:p>
          <w:p w14:paraId="14C0C752" w14:textId="0805CA54" w:rsidR="00462C20" w:rsidRPr="00462C20" w:rsidRDefault="00462C20" w:rsidP="00462C20">
            <w:pPr>
              <w:pStyle w:val="RTBodyText"/>
            </w:pPr>
            <w:r w:rsidRPr="00462C20">
              <w:t>After her son’s birth, a Child Protective Services (CPS) worker from the Dep</w:t>
            </w:r>
            <w:r>
              <w:t>artment of Human Resources (DHR)</w:t>
            </w:r>
            <w:r w:rsidRPr="00462C20">
              <w:t xml:space="preserve"> told her to take a drug test. The worker told her that according to the “safety plan” established by DHR, she would be able to take her son home as long as another adult was living with her.</w:t>
            </w:r>
          </w:p>
          <w:p w14:paraId="42AB63D7" w14:textId="753FBC24" w:rsidR="00462C20" w:rsidRPr="00462C20" w:rsidRDefault="00462C20" w:rsidP="00462C20">
            <w:pPr>
              <w:pStyle w:val="RTBodyText"/>
            </w:pPr>
            <w:r w:rsidRPr="00462C20">
              <w:t xml:space="preserve">Looking forward to caring for her son, Laurie “got the house ready, got the crib ready, everything. I get up to the hospital to pick my son up, and a cop was waiting on me. They let me put my son in the car seat and then handcuffed me in front of my whole entire family, and then charged me with </w:t>
            </w:r>
            <w:r w:rsidR="00D62992">
              <w:t>‘</w:t>
            </w:r>
            <w:r w:rsidRPr="00462C20">
              <w:t>chemical endangerment</w:t>
            </w:r>
            <w:r w:rsidR="00D62992">
              <w:t>’</w:t>
            </w:r>
            <w:r w:rsidRPr="00462C20">
              <w:t xml:space="preserve"> of a child. The hardest thing was my 7</w:t>
            </w:r>
            <w:r w:rsidR="00290107">
              <w:t>-</w:t>
            </w:r>
            <w:r w:rsidRPr="00462C20">
              <w:t>year</w:t>
            </w:r>
            <w:r w:rsidR="00290107">
              <w:t>-</w:t>
            </w:r>
            <w:r w:rsidRPr="00462C20">
              <w:t xml:space="preserve">old nephew was there and they handcuffed me in front of him. I </w:t>
            </w:r>
            <w:r w:rsidRPr="00462C20">
              <w:lastRenderedPageBreak/>
              <w:t>couldn’t enjoy watching my son go home. They took that moment away from me.”</w:t>
            </w:r>
          </w:p>
          <w:p w14:paraId="4421FAC8" w14:textId="04909EBB" w:rsidR="00462C20" w:rsidRPr="00462C20" w:rsidRDefault="00462C20" w:rsidP="00462C20">
            <w:pPr>
              <w:pStyle w:val="RTBodyText"/>
            </w:pPr>
            <w:r w:rsidRPr="00462C20">
              <w:t xml:space="preserve">A month and a half later, “I’m still going through all the </w:t>
            </w:r>
            <w:r w:rsidR="00F14B73">
              <w:t>‘</w:t>
            </w:r>
            <w:r w:rsidRPr="00462C20">
              <w:t>chemical endangerment</w:t>
            </w:r>
            <w:r w:rsidR="00F14B73">
              <w:t>’</w:t>
            </w:r>
            <w:r w:rsidRPr="00462C20">
              <w:t xml:space="preserve"> charges now. I went to court </w:t>
            </w:r>
            <w:r w:rsidR="00290107">
              <w:t>two</w:t>
            </w:r>
            <w:r w:rsidRPr="00462C20">
              <w:t xml:space="preserve"> times and each time my lawyer did not show up. So they kept putting it off and putting it off. And it just kept putting more stress on my mind because I don’t know what’s going to </w:t>
            </w:r>
            <w:proofErr w:type="gramStart"/>
            <w:r w:rsidRPr="00462C20">
              <w:t>happen,</w:t>
            </w:r>
            <w:proofErr w:type="gramEnd"/>
            <w:r w:rsidRPr="00462C20">
              <w:t xml:space="preserve"> I don’t know what to do.”</w:t>
            </w:r>
          </w:p>
          <w:p w14:paraId="7767807C" w14:textId="7A080664" w:rsidR="002E7B1B" w:rsidRPr="00C06C22" w:rsidRDefault="00462C20" w:rsidP="002E7B1B">
            <w:pPr>
              <w:pStyle w:val="RTBodyText"/>
            </w:pPr>
            <w:r w:rsidRPr="00462C20">
              <w:t>“I’m on drug court for 18 months. Will be hopefully getting my son back, but I’m looking at prison time. I still think I should have gotten an opportunity to go into treatment while I was pregnant. I should have been aware of how it was going to play out. I was unaware. I had no idea about this law.”</w:t>
            </w:r>
          </w:p>
        </w:tc>
      </w:tr>
    </w:tbl>
    <w:p w14:paraId="7F14CE13" w14:textId="77777777" w:rsidR="00C81EC9" w:rsidRDefault="00C81EC9" w:rsidP="00C81EC9">
      <w:pPr>
        <w:pStyle w:val="RTBodyText"/>
        <w:rPr>
          <w:lang w:eastAsia="en-GB"/>
        </w:rPr>
      </w:pPr>
    </w:p>
    <w:tbl>
      <w:tblPr>
        <w:tblStyle w:val="RTTintedPullout"/>
        <w:tblW w:w="8278" w:type="dxa"/>
        <w:tblLayout w:type="fixed"/>
        <w:tblCellMar>
          <w:right w:w="170" w:type="dxa"/>
        </w:tblCellMar>
        <w:tblLook w:val="04A0" w:firstRow="1" w:lastRow="0" w:firstColumn="1" w:lastColumn="0" w:noHBand="0" w:noVBand="1"/>
      </w:tblPr>
      <w:tblGrid>
        <w:gridCol w:w="8278"/>
      </w:tblGrid>
      <w:tr w:rsidR="002E7B1B" w:rsidRPr="00C06C22" w14:paraId="69499CD5" w14:textId="77777777" w:rsidTr="001636E1">
        <w:trPr>
          <w:trHeight w:val="1912"/>
        </w:trPr>
        <w:tc>
          <w:tcPr>
            <w:tcW w:w="6107" w:type="dxa"/>
          </w:tcPr>
          <w:p w14:paraId="5E2395E8" w14:textId="3F30C507" w:rsidR="002E7B1B" w:rsidRPr="00C06C22" w:rsidRDefault="002E7B1B" w:rsidP="001636E1">
            <w:pPr>
              <w:pStyle w:val="RTSmallheadingCAPS"/>
            </w:pPr>
            <w:r w:rsidRPr="00C06C22">
              <w:rPr>
                <w:noProof/>
                <w:lang w:val="fr-CA" w:eastAsia="zh-CN"/>
              </w:rPr>
              <w:drawing>
                <wp:anchor distT="0" distB="0" distL="114300" distR="180340" simplePos="0" relativeHeight="251675136" behindDoc="0" locked="0" layoutInCell="1" allowOverlap="1" wp14:anchorId="4812909D" wp14:editId="59C6B33A">
                  <wp:simplePos x="0" y="0"/>
                  <wp:positionH relativeFrom="column">
                    <wp:posOffset>73025</wp:posOffset>
                  </wp:positionH>
                  <wp:positionV relativeFrom="paragraph">
                    <wp:posOffset>0</wp:posOffset>
                  </wp:positionV>
                  <wp:extent cx="868680" cy="901065"/>
                  <wp:effectExtent l="0" t="0" r="7620" b="0"/>
                  <wp:wrapSquare wrapText="bothSides"/>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sonimage600.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68680" cy="901065"/>
                          </a:xfrm>
                          <a:prstGeom prst="rect">
                            <a:avLst/>
                          </a:prstGeom>
                        </pic:spPr>
                      </pic:pic>
                    </a:graphicData>
                  </a:graphic>
                  <wp14:sizeRelH relativeFrom="page">
                    <wp14:pctWidth>0</wp14:pctWidth>
                  </wp14:sizeRelH>
                  <wp14:sizeRelV relativeFrom="page">
                    <wp14:pctHeight>0</wp14:pctHeight>
                  </wp14:sizeRelV>
                </wp:anchor>
              </w:drawing>
            </w:r>
            <w:r>
              <w:t>amanda kimbrough</w:t>
            </w:r>
            <w:r w:rsidRPr="00C06C22">
              <w:t xml:space="preserve"> </w:t>
            </w:r>
          </w:p>
          <w:p w14:paraId="5F75628C" w14:textId="5E0CAD06" w:rsidR="002E7B1B" w:rsidRPr="002E7B1B" w:rsidRDefault="002E7B1B" w:rsidP="002E7B1B">
            <w:pPr>
              <w:pStyle w:val="RTBodyText"/>
              <w:rPr>
                <w:lang w:val="en-US"/>
              </w:rPr>
            </w:pPr>
            <w:r w:rsidRPr="002E7B1B">
              <w:rPr>
                <w:lang w:val="en-US"/>
              </w:rPr>
              <w:t>Amanda Kimbrough, a mother of two from Colbert County, in northwest Alabama, had a history of preterm labor and showed up at the hospital with labor pains at 25 weeks pregnant.</w:t>
            </w:r>
            <w:r w:rsidRPr="002E7B1B">
              <w:rPr>
                <w:vertAlign w:val="superscript"/>
                <w:lang w:val="en-US"/>
              </w:rPr>
              <w:footnoteReference w:id="195"/>
            </w:r>
            <w:r w:rsidRPr="002E7B1B">
              <w:rPr>
                <w:lang w:val="en-US"/>
              </w:rPr>
              <w:t xml:space="preserve"> After emergency cesarean surgery, her infant was not breathing. The pediatrician told the court that the infant died of “respiratory arrest secondary to prematurity,” but the medical examiner found methamphetamine in his system.</w:t>
            </w:r>
            <w:r w:rsidRPr="002E7B1B">
              <w:rPr>
                <w:vertAlign w:val="superscript"/>
                <w:lang w:val="en-US"/>
              </w:rPr>
              <w:footnoteReference w:id="196"/>
            </w:r>
            <w:r w:rsidRPr="002E7B1B">
              <w:rPr>
                <w:vertAlign w:val="superscript"/>
                <w:lang w:val="en-US"/>
              </w:rPr>
              <w:t xml:space="preserve"> </w:t>
            </w:r>
          </w:p>
          <w:p w14:paraId="37988D40" w14:textId="0EF97BD6" w:rsidR="002E7B1B" w:rsidRPr="002E7B1B" w:rsidRDefault="002E7B1B" w:rsidP="002E7B1B">
            <w:pPr>
              <w:pStyle w:val="RTBodyText"/>
            </w:pPr>
            <w:r w:rsidRPr="002E7B1B">
              <w:t>Because of the medical examiner’s findings, Kimbrough was ultimately charged and convicted for “chemical endangerment”. The court affirmed during her trial that Alabama’s “chemical endangerment” law may be used to prosecute women for their actions during pregnancy. The ruling empowered prosecutors across the state to bring these cases in larger numbers.</w:t>
            </w:r>
          </w:p>
          <w:p w14:paraId="726FA30B" w14:textId="79DB8689" w:rsidR="002E7B1B" w:rsidRPr="002E7B1B" w:rsidRDefault="002E7B1B" w:rsidP="002E7B1B">
            <w:pPr>
              <w:pStyle w:val="RTBodyText"/>
            </w:pPr>
            <w:r w:rsidRPr="002E7B1B">
              <w:t>A number of medical experts and human rights organizations filed an amicus brief during Kimbrough’s trial outlining several concerns. Foremost, they outlined that scientific evidence does not support the assumption that prenatal exposure to illicit substances causes “unique, severe, or even inevitable harm.”</w:t>
            </w:r>
            <w:r w:rsidRPr="002E7B1B">
              <w:rPr>
                <w:vertAlign w:val="superscript"/>
              </w:rPr>
              <w:footnoteReference w:id="197"/>
            </w:r>
            <w:r w:rsidRPr="002E7B1B">
              <w:t xml:space="preserve"> In fact, the experts and rights groups argued that allowing the “judicial expansion” of the </w:t>
            </w:r>
            <w:r w:rsidR="00D62992">
              <w:t>“</w:t>
            </w:r>
            <w:r w:rsidRPr="002E7B1B">
              <w:t>chemical endangerment</w:t>
            </w:r>
            <w:r w:rsidR="00D62992">
              <w:t>”</w:t>
            </w:r>
            <w:r w:rsidRPr="002E7B1B">
              <w:t xml:space="preserve"> law could endanger maternal and child health through deterring drug-dependent pregnant women from seeking </w:t>
            </w:r>
            <w:r w:rsidR="00CF7C14">
              <w:t>healthcare</w:t>
            </w:r>
            <w:r w:rsidRPr="002E7B1B">
              <w:t>, carrying pregnancies to term, sharing vital information with healthcare professionals, incarcerating pregnant women, and making women who lawfully take controlled substances subject to arrest.</w:t>
            </w:r>
            <w:r w:rsidRPr="002E7B1B">
              <w:rPr>
                <w:vertAlign w:val="superscript"/>
              </w:rPr>
              <w:footnoteReference w:id="198"/>
            </w:r>
            <w:r w:rsidRPr="002E7B1B">
              <w:t xml:space="preserve">  </w:t>
            </w:r>
          </w:p>
          <w:p w14:paraId="163ACFFB" w14:textId="77777777" w:rsidR="002E7B1B" w:rsidRPr="00C06C22" w:rsidRDefault="002E7B1B" w:rsidP="001636E1">
            <w:pPr>
              <w:pStyle w:val="RTBodyText"/>
            </w:pPr>
          </w:p>
        </w:tc>
      </w:tr>
    </w:tbl>
    <w:p w14:paraId="03C60111" w14:textId="77777777" w:rsidR="002E7B1B" w:rsidRDefault="002E7B1B" w:rsidP="00C81EC9">
      <w:pPr>
        <w:pStyle w:val="RTBodyText"/>
        <w:rPr>
          <w:lang w:eastAsia="en-GB"/>
        </w:rPr>
      </w:pPr>
    </w:p>
    <w:p w14:paraId="158404A8" w14:textId="2E319C2A" w:rsidR="00BA5F64" w:rsidRDefault="00BA5F64" w:rsidP="00BA5F64">
      <w:pPr>
        <w:pStyle w:val="RTNumberedHeading"/>
      </w:pPr>
      <w:bookmarkStart w:id="38" w:name="_Toc482741438"/>
      <w:r w:rsidRPr="00BA5F64">
        <w:t xml:space="preserve">WHEN CRIMINAL JUSTICE, CHILD WELFARE AND HEALTHCARE </w:t>
      </w:r>
      <w:r w:rsidR="00E32CAD">
        <w:t>converge</w:t>
      </w:r>
      <w:bookmarkEnd w:id="38"/>
    </w:p>
    <w:p w14:paraId="2FBA8F91" w14:textId="77777777" w:rsidR="00BA5F64" w:rsidRDefault="00BA5F64" w:rsidP="00BA5F64">
      <w:pPr>
        <w:pStyle w:val="RTBodyText"/>
      </w:pPr>
    </w:p>
    <w:p w14:paraId="0FBE3455" w14:textId="2756ADC7" w:rsidR="00BA5F64" w:rsidRPr="00BA5F64" w:rsidRDefault="00BA5F64" w:rsidP="00BA5F64">
      <w:pPr>
        <w:pStyle w:val="RTBodyText"/>
      </w:pPr>
      <w:r w:rsidRPr="00BA5F64">
        <w:t>Under Alabama law, drug use in pregnancy is considered a form of child abuse, and medical providers are mandatory reporters, meaning they are required to report positive test results to child welfare authorities.</w:t>
      </w:r>
      <w:r w:rsidRPr="00BA5F64">
        <w:rPr>
          <w:vertAlign w:val="superscript"/>
        </w:rPr>
        <w:footnoteReference w:id="199"/>
      </w:r>
      <w:r w:rsidRPr="00BA5F64">
        <w:t xml:space="preserve"> According to Brian White, a lawyer who has represented women charged with “chemical endangerment,” child welfare authorities investigate and may then pass on their findings to law enforcement officials, who may or may not “run with it” and pursue a case.</w:t>
      </w:r>
      <w:r w:rsidRPr="00BA5F64">
        <w:rPr>
          <w:vertAlign w:val="superscript"/>
        </w:rPr>
        <w:footnoteReference w:id="200"/>
      </w:r>
      <w:r w:rsidRPr="00BA5F64">
        <w:t xml:space="preserve"> In some localities, these actors work very closely together</w:t>
      </w:r>
      <w:r w:rsidR="00290107">
        <w:t xml:space="preserve"> </w:t>
      </w:r>
      <w:r w:rsidRPr="00BA5F64">
        <w:t>and may even develop policies i</w:t>
      </w:r>
      <w:r w:rsidR="007F715C">
        <w:t>n conjunction with one another.</w:t>
      </w:r>
      <w:r w:rsidRPr="00BA5F64">
        <w:rPr>
          <w:vertAlign w:val="superscript"/>
        </w:rPr>
        <w:footnoteReference w:id="201"/>
      </w:r>
      <w:r w:rsidRPr="00BA5F64">
        <w:t xml:space="preserve"> </w:t>
      </w:r>
    </w:p>
    <w:p w14:paraId="0EEA6478" w14:textId="3DB6F684" w:rsidR="00BA5F64" w:rsidRPr="00BA5F64" w:rsidRDefault="00BA5F64" w:rsidP="00BA5F64">
      <w:pPr>
        <w:pStyle w:val="RTBodyText"/>
      </w:pPr>
      <w:r w:rsidRPr="00BA5F64">
        <w:lastRenderedPageBreak/>
        <w:t>Amnesty International interviews with child protective services (CPS) workers, drug treatment providers, healthcare professionals and women involved in these systems in Alabama revealed a lack of oversight which intensifies the disparate impact the “chemical endangerment” law has on certain groups of women. A Department of Human Resources Official for the State said: “There are 67 counties in Alabama. It varies county to county in how the DA enforces the law. Some are strict, others are not”</w:t>
      </w:r>
      <w:r w:rsidR="00290107">
        <w:t>.</w:t>
      </w:r>
      <w:r w:rsidRPr="00BA5F64">
        <w:rPr>
          <w:vertAlign w:val="superscript"/>
        </w:rPr>
        <w:footnoteReference w:id="202"/>
      </w:r>
    </w:p>
    <w:p w14:paraId="68619EB7" w14:textId="7DF3AFB7" w:rsidR="00BA5F64" w:rsidRPr="00BA5F64" w:rsidRDefault="00BA5F64" w:rsidP="00BA5F64">
      <w:pPr>
        <w:pStyle w:val="RTBodyText"/>
      </w:pPr>
      <w:r w:rsidRPr="00BA5F64">
        <w:t>A county-level program supervisor agreed: “Every single county is entirely different.”</w:t>
      </w:r>
      <w:r w:rsidRPr="00BA5F64">
        <w:rPr>
          <w:vertAlign w:val="superscript"/>
        </w:rPr>
        <w:footnoteReference w:id="203"/>
      </w:r>
      <w:r w:rsidRPr="00BA5F64">
        <w:t xml:space="preserve"> As did a district attorney, who told us: “There are 41 judicial circuits in Alabama, which means 41 separate fiefdoms.”</w:t>
      </w:r>
      <w:r w:rsidRPr="00BA5F64">
        <w:rPr>
          <w:vertAlign w:val="superscript"/>
        </w:rPr>
        <w:footnoteReference w:id="204"/>
      </w:r>
      <w:r w:rsidRPr="00BA5F64">
        <w:t>State child welfare officials explained that</w:t>
      </w:r>
      <w:r w:rsidR="00290107">
        <w:t xml:space="preserve"> </w:t>
      </w:r>
      <w:r w:rsidRPr="00BA5F64">
        <w:t>CPS workers must collaborate with law enforcement and can be subpoenaed.</w:t>
      </w:r>
      <w:r w:rsidRPr="00BA5F64">
        <w:rPr>
          <w:vertAlign w:val="superscript"/>
        </w:rPr>
        <w:footnoteReference w:id="205"/>
      </w:r>
      <w:r w:rsidRPr="00BA5F64">
        <w:t xml:space="preserve"> Some counties go even further. For example, Etowah County publicized their cross-agency pledge of greater co</w:t>
      </w:r>
      <w:r w:rsidR="00290107">
        <w:t>-</w:t>
      </w:r>
      <w:r w:rsidRPr="00BA5F64">
        <w:t xml:space="preserve">ordination to prosecute women with “chemical endangerment.” </w:t>
      </w:r>
    </w:p>
    <w:p w14:paraId="0412AF3F" w14:textId="432BD385" w:rsidR="00BA5F64" w:rsidRPr="00BA5F64" w:rsidRDefault="00BA5F64" w:rsidP="00BA5F64">
      <w:pPr>
        <w:pStyle w:val="RTBodyText"/>
        <w:rPr>
          <w:i/>
        </w:rPr>
      </w:pPr>
      <w:r w:rsidRPr="00BA5F64">
        <w:t xml:space="preserve">In another county, a program supervisor for CPS explained that: “The prenatal clinic gives the patient history to the hospital and then they call it in to CPS. I’ve gotten calls from the prenatal clinic if they know there are kids at home. The report just says there’s drug use. There’s no explanation of how or why it is impacting the child. Every single thing we </w:t>
      </w:r>
      <w:r w:rsidR="00290107">
        <w:t>[</w:t>
      </w:r>
      <w:r w:rsidRPr="00BA5F64">
        <w:t>CPS</w:t>
      </w:r>
      <w:r w:rsidR="00290107">
        <w:t>]</w:t>
      </w:r>
      <w:r w:rsidRPr="00BA5F64">
        <w:t xml:space="preserve"> receive</w:t>
      </w:r>
      <w:r w:rsidR="00290107">
        <w:t>,</w:t>
      </w:r>
      <w:r w:rsidRPr="00BA5F64">
        <w:t xml:space="preserve"> we share it with law enforcement. If it’s something really bad, we’ll file a police report on top of that.”</w:t>
      </w:r>
      <w:r w:rsidRPr="00BA5F64">
        <w:rPr>
          <w:vertAlign w:val="superscript"/>
        </w:rPr>
        <w:footnoteReference w:id="206"/>
      </w:r>
      <w:r w:rsidRPr="00BA5F64">
        <w:rPr>
          <w:i/>
        </w:rPr>
        <w:t xml:space="preserve"> </w:t>
      </w:r>
    </w:p>
    <w:p w14:paraId="5BD9B26A" w14:textId="035E7E25" w:rsidR="00BA5F64" w:rsidRPr="00BA5F64" w:rsidRDefault="00BA5F64" w:rsidP="00BA5F64">
      <w:pPr>
        <w:pStyle w:val="RTBodyText"/>
        <w:rPr>
          <w:i/>
        </w:rPr>
      </w:pPr>
      <w:r w:rsidRPr="00BA5F64">
        <w:t>In addition to punishment for convictions under the “chemical endangerment” law, women may face related sanctions and other punitive monitoring and regulation from CPS. For example, women must adhere to a “safety plan” devised by a case manager and be subjected to repeated and frequent drug tests, classes and other sanctions.</w:t>
      </w:r>
      <w:r w:rsidRPr="00BA5F64">
        <w:rPr>
          <w:vertAlign w:val="superscript"/>
        </w:rPr>
        <w:footnoteReference w:id="207"/>
      </w:r>
      <w:r w:rsidRPr="00BA5F64">
        <w:t xml:space="preserve">  </w:t>
      </w:r>
    </w:p>
    <w:p w14:paraId="499E84FE" w14:textId="0C435D74" w:rsidR="00BA5F64" w:rsidRPr="00BA5F64" w:rsidRDefault="00BA5F64" w:rsidP="00BA5F64">
      <w:pPr>
        <w:pStyle w:val="RTBodyText"/>
      </w:pPr>
      <w:r w:rsidRPr="00BA5F64">
        <w:t>A pervasive concern among pregnant women was whether or not they would lose custody of their children. One woman told Amnesty International:</w:t>
      </w:r>
      <w:r w:rsidRPr="00BA5F64">
        <w:rPr>
          <w:i/>
        </w:rPr>
        <w:t xml:space="preserve"> </w:t>
      </w:r>
      <w:r w:rsidRPr="00BA5F64">
        <w:t>“If someone took my kids, I’d have no reason to stay clean; I’d have no reason to live”</w:t>
      </w:r>
      <w:r w:rsidR="00290107">
        <w:t>.</w:t>
      </w:r>
      <w:r w:rsidRPr="00BA5F64">
        <w:rPr>
          <w:vertAlign w:val="superscript"/>
        </w:rPr>
        <w:footnoteReference w:id="208"/>
      </w:r>
      <w:r w:rsidRPr="00BA5F64">
        <w:t xml:space="preserve"> </w:t>
      </w:r>
    </w:p>
    <w:p w14:paraId="6160E11C" w14:textId="5B1A0956" w:rsidR="00BA5F64" w:rsidRDefault="00BA5F64" w:rsidP="00BA5F64">
      <w:pPr>
        <w:pStyle w:val="RTBodyText"/>
      </w:pPr>
      <w:r w:rsidRPr="00BA5F64">
        <w:t xml:space="preserve">Another woman in treatment </w:t>
      </w:r>
      <w:r w:rsidR="00A26F4E">
        <w:t>said</w:t>
      </w:r>
      <w:r w:rsidRPr="00BA5F64">
        <w:t xml:space="preserve">: “They’re holding our children over our heads and they know we’ll just </w:t>
      </w:r>
      <w:proofErr w:type="gramStart"/>
      <w:r w:rsidRPr="00BA5F64">
        <w:t>lay</w:t>
      </w:r>
      <w:proofErr w:type="gramEnd"/>
      <w:r w:rsidRPr="00BA5F64">
        <w:t xml:space="preserve"> down because that’s my child”</w:t>
      </w:r>
      <w:r w:rsidR="00A26F4E">
        <w:t>.</w:t>
      </w:r>
      <w:r w:rsidRPr="00BA5F64">
        <w:rPr>
          <w:vertAlign w:val="superscript"/>
        </w:rPr>
        <w:footnoteReference w:id="209"/>
      </w:r>
    </w:p>
    <w:p w14:paraId="19BBAADD" w14:textId="4F96982E" w:rsidR="00BA5F64" w:rsidRPr="00BA5F64" w:rsidRDefault="00BA5F64" w:rsidP="00BA5F64">
      <w:pPr>
        <w:pStyle w:val="RTNumberedHeading"/>
      </w:pPr>
      <w:bookmarkStart w:id="39" w:name="_Toc482741439"/>
      <w:r w:rsidRPr="00BA5F64">
        <w:t>Drug Testing and Arrests</w:t>
      </w:r>
      <w:bookmarkEnd w:id="39"/>
    </w:p>
    <w:p w14:paraId="2278F5A4" w14:textId="39C20D83" w:rsidR="00BA5F64" w:rsidRPr="00BA5F64" w:rsidRDefault="00BA5F64" w:rsidP="00BA5F64">
      <w:pPr>
        <w:pStyle w:val="RTBodyText"/>
      </w:pPr>
      <w:r w:rsidRPr="00BA5F64">
        <w:t xml:space="preserve">Charges under Alabama’s “chemical endangerment” law can be filed during pregnancy or at the time of </w:t>
      </w:r>
      <w:r w:rsidR="00A26F4E">
        <w:t>delivery</w:t>
      </w:r>
      <w:r w:rsidRPr="00BA5F64">
        <w:t xml:space="preserve">. Amnesty International spoke with five women who were charged with “chemical endangerment” during pregnancy. One woman was arrested at the hospital and in the other </w:t>
      </w:r>
      <w:proofErr w:type="gramStart"/>
      <w:r w:rsidRPr="00BA5F64">
        <w:t>cases,</w:t>
      </w:r>
      <w:proofErr w:type="gramEnd"/>
      <w:r w:rsidRPr="00BA5F64">
        <w:t xml:space="preserve"> the women were initially stopped for a violation while driving, arrested for another crime, such as drug possession or theft, and then tested for pregnancy, drugs, or both, while in jail.</w:t>
      </w:r>
      <w:r w:rsidRPr="00BA5F64">
        <w:rPr>
          <w:vertAlign w:val="superscript"/>
        </w:rPr>
        <w:t xml:space="preserve"> </w:t>
      </w:r>
      <w:r w:rsidRPr="00BA5F64">
        <w:t xml:space="preserve"> The Executive Director of a drug treatment </w:t>
      </w:r>
      <w:proofErr w:type="spellStart"/>
      <w:r w:rsidRPr="00BA5F64">
        <w:t>center</w:t>
      </w:r>
      <w:proofErr w:type="spellEnd"/>
      <w:r w:rsidRPr="00BA5F64">
        <w:t xml:space="preserve"> told Amnesty International that: “Prosecutors charge with everything they can; more charges </w:t>
      </w:r>
      <w:proofErr w:type="gramStart"/>
      <w:r w:rsidRPr="00BA5F64">
        <w:t>is</w:t>
      </w:r>
      <w:proofErr w:type="gramEnd"/>
      <w:r w:rsidRPr="00BA5F64">
        <w:t xml:space="preserve"> more bargaining power.”</w:t>
      </w:r>
      <w:r w:rsidRPr="00BA5F64">
        <w:rPr>
          <w:vertAlign w:val="superscript"/>
        </w:rPr>
        <w:footnoteReference w:id="210"/>
      </w:r>
      <w:r w:rsidRPr="00BA5F64">
        <w:t xml:space="preserve"> One woman, “Dana”</w:t>
      </w:r>
      <w:r w:rsidR="00A26F4E">
        <w:t xml:space="preserve"> found out in jail that she was pregnant after being</w:t>
      </w:r>
      <w:r w:rsidR="00443A83">
        <w:t xml:space="preserve"> tested there</w:t>
      </w:r>
      <w:r w:rsidRPr="00BA5F64">
        <w:t xml:space="preserve">:  </w:t>
      </w:r>
    </w:p>
    <w:tbl>
      <w:tblPr>
        <w:tblStyle w:val="RTTintedPullout"/>
        <w:tblW w:w="8278" w:type="dxa"/>
        <w:tblLayout w:type="fixed"/>
        <w:tblCellMar>
          <w:right w:w="170" w:type="dxa"/>
        </w:tblCellMar>
        <w:tblLook w:val="04A0" w:firstRow="1" w:lastRow="0" w:firstColumn="1" w:lastColumn="0" w:noHBand="0" w:noVBand="1"/>
      </w:tblPr>
      <w:tblGrid>
        <w:gridCol w:w="8278"/>
      </w:tblGrid>
      <w:tr w:rsidR="00BA5F64" w:rsidRPr="00C06C22" w14:paraId="39E365DE" w14:textId="77777777" w:rsidTr="001636E1">
        <w:trPr>
          <w:trHeight w:val="1912"/>
        </w:trPr>
        <w:tc>
          <w:tcPr>
            <w:tcW w:w="6107" w:type="dxa"/>
          </w:tcPr>
          <w:p w14:paraId="65AFA22D" w14:textId="04444E97" w:rsidR="00BA5F64" w:rsidRPr="00C06C22" w:rsidRDefault="00BA5F64" w:rsidP="001636E1">
            <w:pPr>
              <w:pStyle w:val="RTSmallheadingCAPS"/>
            </w:pPr>
            <w:r w:rsidRPr="00C06C22">
              <w:rPr>
                <w:noProof/>
                <w:lang w:val="fr-CA" w:eastAsia="zh-CN"/>
              </w:rPr>
              <w:lastRenderedPageBreak/>
              <w:drawing>
                <wp:anchor distT="0" distB="0" distL="114300" distR="180340" simplePos="0" relativeHeight="251677184" behindDoc="0" locked="0" layoutInCell="1" allowOverlap="1" wp14:anchorId="63C7CE70" wp14:editId="034781E6">
                  <wp:simplePos x="0" y="0"/>
                  <wp:positionH relativeFrom="column">
                    <wp:posOffset>76200</wp:posOffset>
                  </wp:positionH>
                  <wp:positionV relativeFrom="paragraph">
                    <wp:posOffset>0</wp:posOffset>
                  </wp:positionV>
                  <wp:extent cx="781050" cy="810895"/>
                  <wp:effectExtent l="0" t="0" r="6350" b="1905"/>
                  <wp:wrapSquare wrapText="bothSides"/>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sonimage600.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81050" cy="810895"/>
                          </a:xfrm>
                          <a:prstGeom prst="rect">
                            <a:avLst/>
                          </a:prstGeom>
                        </pic:spPr>
                      </pic:pic>
                    </a:graphicData>
                  </a:graphic>
                  <wp14:sizeRelH relativeFrom="page">
                    <wp14:pctWidth>0</wp14:pctWidth>
                  </wp14:sizeRelH>
                  <wp14:sizeRelV relativeFrom="page">
                    <wp14:pctHeight>0</wp14:pctHeight>
                  </wp14:sizeRelV>
                </wp:anchor>
              </w:drawing>
            </w:r>
            <w:r>
              <w:t>dana</w:t>
            </w:r>
            <w:r w:rsidRPr="00C06C22">
              <w:t xml:space="preserve"> </w:t>
            </w:r>
          </w:p>
          <w:p w14:paraId="489807A9" w14:textId="0D26E155" w:rsidR="00BA5F64" w:rsidRDefault="00BA5F64" w:rsidP="00BA5F64">
            <w:pPr>
              <w:pStyle w:val="RTBodyText"/>
              <w:rPr>
                <w:lang w:val="en-US"/>
              </w:rPr>
            </w:pPr>
            <w:r w:rsidRPr="00BA5F64">
              <w:rPr>
                <w:lang w:val="en-US"/>
              </w:rPr>
              <w:t xml:space="preserve">“They did the pregnancy test about an hour in. The nurse asked questions, like if I had any health problems, checked my weight and gave me a cup to pee in. She did the test there. I didn’t believe her. I was in shock. It all happened at once. I was scared. I felt real bad. She didn’t talk to me about it. I asked for a second test, but she said it was 99% accurate and sent me back to the cell. </w:t>
            </w:r>
          </w:p>
          <w:p w14:paraId="1DED7663" w14:textId="5C71B9FE" w:rsidR="00BA5F64" w:rsidRPr="00C06C22" w:rsidRDefault="0005702B" w:rsidP="00BA5F64">
            <w:pPr>
              <w:pStyle w:val="RTBodyText"/>
            </w:pPr>
            <w:r w:rsidRPr="0005702B">
              <w:t>Dana further explained that: “The investigator asked if I used drugs. I said yes. I said I wasn’t aware I was pregnant. [The investigator] didn’t believe me. I was really upset. He continued to tell me I was being smart about it, he said they can’t be real tears. He would say things like that. He said he was charging me with ‘chemical endangerment’ of the unborn and he put me back in jail.”</w:t>
            </w:r>
            <w:r w:rsidRPr="00A6542A">
              <w:rPr>
                <w:vertAlign w:val="superscript"/>
              </w:rPr>
              <w:footnoteReference w:id="211"/>
            </w:r>
            <w:r w:rsidRPr="0005702B">
              <w:t xml:space="preserve"> As a result of the </w:t>
            </w:r>
            <w:r w:rsidR="00D62992">
              <w:t>‘</w:t>
            </w:r>
            <w:r w:rsidRPr="0005702B">
              <w:t>chemical endangerment charge</w:t>
            </w:r>
            <w:r w:rsidR="00D62992">
              <w:t>’</w:t>
            </w:r>
            <w:r w:rsidRPr="0005702B">
              <w:t xml:space="preserve">, Dana’s bail was raised to </w:t>
            </w:r>
            <w:r w:rsidR="00195E54">
              <w:t>US</w:t>
            </w:r>
            <w:r w:rsidRPr="0005702B">
              <w:t>$10,000, making it “impossible” to pay.</w:t>
            </w:r>
            <w:r w:rsidRPr="0005702B">
              <w:rPr>
                <w:vertAlign w:val="superscript"/>
              </w:rPr>
              <w:footnoteReference w:id="212"/>
            </w:r>
          </w:p>
        </w:tc>
      </w:tr>
    </w:tbl>
    <w:p w14:paraId="232271DD" w14:textId="77777777" w:rsidR="00BA5F64" w:rsidRDefault="00BA5F64" w:rsidP="00BA5F64">
      <w:pPr>
        <w:pStyle w:val="RTBodyText"/>
      </w:pPr>
    </w:p>
    <w:p w14:paraId="10F667CE" w14:textId="57F912E4" w:rsidR="00A6542A" w:rsidRDefault="00A6542A" w:rsidP="00A6542A">
      <w:pPr>
        <w:pStyle w:val="RTNumberedHeading"/>
      </w:pPr>
      <w:bookmarkStart w:id="40" w:name="_Toc482741440"/>
      <w:r>
        <w:t>discriminatory drug testing</w:t>
      </w:r>
      <w:bookmarkEnd w:id="40"/>
    </w:p>
    <w:p w14:paraId="15687828" w14:textId="3A71F600" w:rsidR="00A6542A" w:rsidRPr="00A6542A" w:rsidRDefault="00A6542A" w:rsidP="00195E54">
      <w:pPr>
        <w:pStyle w:val="RTBodyText"/>
      </w:pPr>
      <w:r w:rsidRPr="00A6542A">
        <w:t xml:space="preserve">Amnesty International’s interviews with child welfare authorities, medical professionals, and women indicate that drug testing of pregnant women is conducted in a discriminatory manner that targets certain women including those who </w:t>
      </w:r>
      <w:r w:rsidR="00195E54">
        <w:t xml:space="preserve">have </w:t>
      </w:r>
      <w:r w:rsidRPr="00A6542A">
        <w:t>low</w:t>
      </w:r>
      <w:r w:rsidR="00195E54">
        <w:t xml:space="preserve"> </w:t>
      </w:r>
      <w:r w:rsidRPr="00A6542A">
        <w:t>income</w:t>
      </w:r>
      <w:r w:rsidR="00195E54">
        <w:t>s</w:t>
      </w:r>
      <w:r w:rsidRPr="00A6542A">
        <w:t xml:space="preserve"> and a history of drug use. Hospitals are reluctant to share their policies and patients are often unaware </w:t>
      </w:r>
      <w:r w:rsidR="00195E54">
        <w:t xml:space="preserve">that </w:t>
      </w:r>
      <w:r w:rsidRPr="00A6542A">
        <w:t>they have been tested.</w:t>
      </w:r>
      <w:r w:rsidRPr="00A6542A">
        <w:rPr>
          <w:vertAlign w:val="superscript"/>
        </w:rPr>
        <w:footnoteReference w:id="213"/>
      </w:r>
      <w:r w:rsidRPr="00A6542A">
        <w:t xml:space="preserve"> Some doctors recognize that this type of approach leaves room for bias and discrimination among medical providers. For example, Dr Stephen Patrick, a neonatologist, told Amnesty International that: “If the decision to test is risk-based, we essentially apply our own biases to the situation, which is problematic.”</w:t>
      </w:r>
      <w:r w:rsidRPr="00A6542A">
        <w:rPr>
          <w:vertAlign w:val="superscript"/>
        </w:rPr>
        <w:footnoteReference w:id="214"/>
      </w:r>
      <w:r w:rsidRPr="00A6542A">
        <w:t xml:space="preserve"> </w:t>
      </w:r>
    </w:p>
    <w:p w14:paraId="320F7BCD" w14:textId="0EF7920B" w:rsidR="00A6542A" w:rsidRDefault="00A6542A" w:rsidP="00A6542A">
      <w:pPr>
        <w:pStyle w:val="RTBodyText"/>
      </w:pPr>
      <w:r w:rsidRPr="00A6542A">
        <w:t xml:space="preserve">Some hospitals </w:t>
      </w:r>
      <w:r w:rsidR="00195E54">
        <w:t xml:space="preserve">in Alabama </w:t>
      </w:r>
      <w:r w:rsidRPr="00A6542A">
        <w:t>only test women based on what are described as risk factors, such as having no record of receiving prenatal care or disclosing previous drug use. However, “risk-based” assessments can unfairly target poor women, who have less access to healthcare. Women already involved with CPS also face increased surveillance and scrutiny. One child welfare official told Amnesty International that she regularly communicates with hospitals about testing individual patients:</w:t>
      </w:r>
    </w:p>
    <w:p w14:paraId="3D6D3679" w14:textId="5E8CF2DC" w:rsidR="007C5B60" w:rsidRPr="007C5B60" w:rsidRDefault="007C5B60" w:rsidP="007C5B60">
      <w:pPr>
        <w:pStyle w:val="RTSmallQuoteText"/>
      </w:pPr>
      <w:r w:rsidRPr="007C5B60">
        <w:t>“If we have concerns we can call the hospital and put them on the ‘baby watch list.’ If she comes through she will be checked.”</w:t>
      </w:r>
      <w:r>
        <w:rPr>
          <w:rStyle w:val="FootnoteReference"/>
        </w:rPr>
        <w:footnoteReference w:id="215"/>
      </w:r>
    </w:p>
    <w:p w14:paraId="0C962741" w14:textId="0AE850AC" w:rsidR="007C5B60" w:rsidRPr="007C5B60" w:rsidRDefault="007C5B60" w:rsidP="007C5B60">
      <w:pPr>
        <w:pStyle w:val="RTBodyText"/>
      </w:pPr>
      <w:r w:rsidRPr="007C5B60">
        <w:t xml:space="preserve">In order to avoid concerns over discrimination, some hospitals </w:t>
      </w:r>
      <w:r w:rsidR="00195E54">
        <w:t xml:space="preserve">in Alabama </w:t>
      </w:r>
      <w:r w:rsidRPr="007C5B60">
        <w:t xml:space="preserve">have a policy of testing all </w:t>
      </w:r>
      <w:proofErr w:type="spellStart"/>
      <w:r w:rsidRPr="007C5B60">
        <w:t>newborns</w:t>
      </w:r>
      <w:proofErr w:type="spellEnd"/>
      <w:r w:rsidRPr="007C5B60">
        <w:t xml:space="preserve">. If an infant tests positive, mothers are then tested and reported to authorities. </w:t>
      </w:r>
    </w:p>
    <w:p w14:paraId="776CA23B" w14:textId="77777777" w:rsidR="007C5B60" w:rsidRPr="007C5B60" w:rsidRDefault="007C5B60" w:rsidP="007C5B60">
      <w:pPr>
        <w:pStyle w:val="RTBodyText"/>
      </w:pPr>
      <w:r w:rsidRPr="007C5B60">
        <w:t>For example, in Marshall County, the District Attorney and hospital decided that there would be blanket testing across the board, and thus all women would walk in “on the same playing field.”</w:t>
      </w:r>
      <w:r w:rsidRPr="007C5B60">
        <w:rPr>
          <w:vertAlign w:val="superscript"/>
        </w:rPr>
        <w:footnoteReference w:id="216"/>
      </w:r>
      <w:r w:rsidRPr="007C5B60">
        <w:t xml:space="preserve"> In nearby Etowah County, a law enforcement official told Amnesty International that the situation was the same: “Every time you go for care there’s blanket urine testing.”</w:t>
      </w:r>
      <w:r w:rsidRPr="007C5B60">
        <w:rPr>
          <w:vertAlign w:val="superscript"/>
        </w:rPr>
        <w:footnoteReference w:id="217"/>
      </w:r>
      <w:r w:rsidRPr="007C5B60">
        <w:t xml:space="preserve"> </w:t>
      </w:r>
      <w:proofErr w:type="gramStart"/>
      <w:r w:rsidRPr="007C5B60">
        <w:t>Though while everyone is tested in this county, this does not guarantee that every positive test will be reported to law enforcement.</w:t>
      </w:r>
      <w:proofErr w:type="gramEnd"/>
      <w:r w:rsidRPr="007C5B60">
        <w:rPr>
          <w:vertAlign w:val="superscript"/>
        </w:rPr>
        <w:footnoteReference w:id="218"/>
      </w:r>
      <w:r w:rsidRPr="007C5B60">
        <w:t xml:space="preserve"> </w:t>
      </w:r>
    </w:p>
    <w:p w14:paraId="1D98B0ED" w14:textId="10C8405A" w:rsidR="007C5B60" w:rsidRDefault="007C5B60" w:rsidP="007C5B60">
      <w:pPr>
        <w:pStyle w:val="RTBodyText"/>
      </w:pPr>
      <w:r w:rsidRPr="007C5B60">
        <w:t xml:space="preserve">Drug testing and reporting of positive test results to government agencies raises issues related to patient privacy. The UN Special </w:t>
      </w:r>
      <w:r w:rsidR="00195E54" w:rsidRPr="007C5B60">
        <w:t>Rapporteur</w:t>
      </w:r>
      <w:r w:rsidRPr="007C5B60">
        <w:t xml:space="preserve"> on the Right to Health, an international human rights expert appointed by the UN, has found that compulsory testing is disempowering and a deterrent for individuals who wish to access health services.</w:t>
      </w:r>
      <w:r w:rsidRPr="007C5B60">
        <w:rPr>
          <w:vertAlign w:val="superscript"/>
        </w:rPr>
        <w:footnoteReference w:id="219"/>
      </w:r>
      <w:r w:rsidRPr="007C5B60">
        <w:t xml:space="preserve"> The American College of Obstetricians and </w:t>
      </w:r>
      <w:proofErr w:type="spellStart"/>
      <w:r w:rsidRPr="007C5B60">
        <w:t>Gynecologists</w:t>
      </w:r>
      <w:proofErr w:type="spellEnd"/>
      <w:r w:rsidRPr="007C5B60">
        <w:t xml:space="preserve"> (ACOG), a prominent professional </w:t>
      </w:r>
      <w:r w:rsidRPr="007C5B60">
        <w:lastRenderedPageBreak/>
        <w:t>authority on obstetrical care, takes the position that urine testing should only be administered with the woman’s consent and the woman must be informed of potential ramifications of a positive test result.</w:t>
      </w:r>
      <w:r w:rsidRPr="007C5B60">
        <w:rPr>
          <w:vertAlign w:val="superscript"/>
        </w:rPr>
        <w:footnoteReference w:id="220"/>
      </w:r>
    </w:p>
    <w:p w14:paraId="36B2615B" w14:textId="17D20238" w:rsidR="007C5B60" w:rsidRPr="007C5B60" w:rsidRDefault="007C5B60" w:rsidP="007C5B60">
      <w:pPr>
        <w:pStyle w:val="RTNumberedHeading"/>
      </w:pPr>
      <w:bookmarkStart w:id="41" w:name="_Toc482741441"/>
      <w:r w:rsidRPr="007C5B60">
        <w:t>Lack of informed consent for drug testing</w:t>
      </w:r>
      <w:bookmarkEnd w:id="41"/>
    </w:p>
    <w:p w14:paraId="1BCC3E43" w14:textId="77777777" w:rsidR="007C5B60" w:rsidRDefault="007C5B60" w:rsidP="009D71C0">
      <w:pPr>
        <w:pStyle w:val="RTBodyText"/>
      </w:pPr>
    </w:p>
    <w:tbl>
      <w:tblPr>
        <w:tblStyle w:val="TableGrid1"/>
        <w:tblW w:w="8278" w:type="dxa"/>
        <w:tblBorders>
          <w:top w:val="none" w:sz="0" w:space="0" w:color="auto"/>
          <w:left w:val="single" w:sz="48" w:space="0" w:color="000000" w:themeColor="text1"/>
          <w:bottom w:val="none" w:sz="0" w:space="0" w:color="auto"/>
          <w:right w:val="none" w:sz="0" w:space="0" w:color="auto"/>
          <w:insideH w:val="none" w:sz="0" w:space="0" w:color="auto"/>
          <w:insideV w:val="none" w:sz="0" w:space="0" w:color="auto"/>
        </w:tblBorders>
        <w:tblLayout w:type="fixed"/>
        <w:tblCellMar>
          <w:top w:w="113" w:type="dxa"/>
          <w:left w:w="227" w:type="dxa"/>
          <w:right w:w="0" w:type="dxa"/>
        </w:tblCellMar>
        <w:tblLook w:val="04A0" w:firstRow="1" w:lastRow="0" w:firstColumn="1" w:lastColumn="0" w:noHBand="0" w:noVBand="1"/>
      </w:tblPr>
      <w:tblGrid>
        <w:gridCol w:w="8278"/>
      </w:tblGrid>
      <w:tr w:rsidR="00AF12B1" w:rsidRPr="00AF12B1" w14:paraId="4FDBE84A" w14:textId="77777777" w:rsidTr="00D95B2D">
        <w:tc>
          <w:tcPr>
            <w:tcW w:w="8278" w:type="dxa"/>
          </w:tcPr>
          <w:p w14:paraId="1CF07597" w14:textId="77777777" w:rsidR="00AF12B1" w:rsidRPr="00AF12B1" w:rsidRDefault="00AF12B1" w:rsidP="00AF12B1">
            <w:pPr>
              <w:suppressAutoHyphens/>
              <w:rPr>
                <w:rFonts w:asciiTheme="majorHAnsi" w:hAnsiTheme="majorHAnsi"/>
                <w:b/>
                <w:sz w:val="36"/>
                <w:szCs w:val="24"/>
                <w:lang w:val="en-GB"/>
              </w:rPr>
            </w:pPr>
            <w:r w:rsidRPr="00AF12B1">
              <w:rPr>
                <w:rFonts w:asciiTheme="majorHAnsi" w:hAnsiTheme="majorHAnsi"/>
                <w:b/>
                <w:sz w:val="36"/>
                <w:szCs w:val="24"/>
                <w:lang w:val="en-GB"/>
              </w:rPr>
              <w:t>“I didn’t know they could test without my knowledge. No one ever told me my rights. They should have asked me”</w:t>
            </w:r>
          </w:p>
        </w:tc>
      </w:tr>
      <w:tr w:rsidR="00AF12B1" w:rsidRPr="00AF12B1" w14:paraId="24F073F4" w14:textId="77777777" w:rsidTr="00D95B2D">
        <w:tc>
          <w:tcPr>
            <w:tcW w:w="8278" w:type="dxa"/>
          </w:tcPr>
          <w:p w14:paraId="426B2ED5" w14:textId="77777777" w:rsidR="00AF12B1" w:rsidRPr="00AF12B1" w:rsidRDefault="00AF12B1" w:rsidP="00AF12B1">
            <w:pPr>
              <w:suppressAutoHyphens/>
              <w:spacing w:after="120"/>
              <w:rPr>
                <w:rFonts w:ascii="Amnesty Trade Gothic Cn" w:hAnsi="Amnesty Trade Gothic Cn"/>
                <w:sz w:val="18"/>
                <w:szCs w:val="24"/>
                <w:lang w:val="en-GB"/>
              </w:rPr>
            </w:pPr>
            <w:r w:rsidRPr="00AF12B1">
              <w:rPr>
                <w:rFonts w:ascii="Amnesty Trade Gothic Cn" w:hAnsi="Amnesty Trade Gothic Cn"/>
                <w:sz w:val="18"/>
                <w:szCs w:val="24"/>
                <w:lang w:val="en-GB"/>
              </w:rPr>
              <w:t xml:space="preserve">Interview, Amber, treatment </w:t>
            </w:r>
            <w:proofErr w:type="spellStart"/>
            <w:r w:rsidRPr="00AF12B1">
              <w:rPr>
                <w:rFonts w:ascii="Amnesty Trade Gothic Cn" w:hAnsi="Amnesty Trade Gothic Cn"/>
                <w:sz w:val="18"/>
                <w:szCs w:val="24"/>
                <w:lang w:val="en-GB"/>
              </w:rPr>
              <w:t>center</w:t>
            </w:r>
            <w:proofErr w:type="spellEnd"/>
            <w:r w:rsidRPr="00AF12B1">
              <w:rPr>
                <w:rFonts w:ascii="Amnesty Trade Gothic Cn" w:hAnsi="Amnesty Trade Gothic Cn"/>
                <w:sz w:val="18"/>
                <w:szCs w:val="24"/>
                <w:lang w:val="en-GB"/>
              </w:rPr>
              <w:t>, Birmingham, AL, 22 January 2015</w:t>
            </w:r>
          </w:p>
        </w:tc>
      </w:tr>
    </w:tbl>
    <w:p w14:paraId="1FB78473" w14:textId="77777777" w:rsidR="00AF12B1" w:rsidRDefault="00AF12B1" w:rsidP="007C5B60">
      <w:pPr>
        <w:pStyle w:val="RTBodyText"/>
      </w:pPr>
      <w:r w:rsidRPr="007C5B60" w:rsidDel="00AF12B1">
        <w:t xml:space="preserve"> </w:t>
      </w:r>
    </w:p>
    <w:p w14:paraId="078524AC" w14:textId="0062DAA9" w:rsidR="007C5B60" w:rsidRPr="007C5B60" w:rsidRDefault="007C5B60" w:rsidP="007C5B60">
      <w:pPr>
        <w:pStyle w:val="RTBodyText"/>
        <w:rPr>
          <w:i/>
        </w:rPr>
      </w:pPr>
      <w:r w:rsidRPr="007C5B60">
        <w:t xml:space="preserve">There are a lack of clear protocols and compliance with patients’ rights to informed consent to treatment and testing throughout the </w:t>
      </w:r>
      <w:r w:rsidR="003C38B1">
        <w:t>USA</w:t>
      </w:r>
      <w:r w:rsidRPr="007C5B60">
        <w:t>. In addition to implicating privacy rights, the circumstances around drug testing and whether or not women consent to being tested are particularly relevant as a positive drug test may result in criminal charges and liability.</w:t>
      </w:r>
    </w:p>
    <w:p w14:paraId="19DC8F89" w14:textId="6B6B3439" w:rsidR="007C5B60" w:rsidRPr="007C5B60" w:rsidRDefault="007C5B60" w:rsidP="007C5B60">
      <w:pPr>
        <w:pStyle w:val="RTBodyText"/>
      </w:pPr>
      <w:r w:rsidRPr="007C5B60">
        <w:t>Hospitals have an ethical obligation to obtain a patient’s informed consent before drug testing. Along these lines, most people in the USA are accustomed to signing long, complicated legal forms before medical procedures despite that they may not actually have time to read the forms, or lack the reading comprehension or language skills to be able to understand them.</w:t>
      </w:r>
      <w:r w:rsidRPr="007C5B60">
        <w:rPr>
          <w:vertAlign w:val="superscript"/>
        </w:rPr>
        <w:footnoteReference w:id="221"/>
      </w:r>
      <w:r w:rsidRPr="007C5B60">
        <w:t xml:space="preserve"> According to a study from the US Agency for Healthcare Research and Quality, most patients are unable to recall or do not understand most of the information that is presented to them in the informed consent process.</w:t>
      </w:r>
      <w:r w:rsidRPr="007C5B60">
        <w:rPr>
          <w:vertAlign w:val="superscript"/>
        </w:rPr>
        <w:footnoteReference w:id="222"/>
      </w:r>
      <w:r w:rsidRPr="007C5B60">
        <w:t xml:space="preserve"> Furthermore, reading the forms may not be entirely feasible if a woman is in </w:t>
      </w:r>
      <w:proofErr w:type="spellStart"/>
      <w:r w:rsidRPr="007C5B60">
        <w:t>labor</w:t>
      </w:r>
      <w:proofErr w:type="spellEnd"/>
      <w:r w:rsidRPr="007C5B60">
        <w:t xml:space="preserve">.  </w:t>
      </w:r>
    </w:p>
    <w:p w14:paraId="3D7B4553" w14:textId="3D2D0A8E" w:rsidR="007C5B60" w:rsidRPr="007C5B60" w:rsidRDefault="007C5B60" w:rsidP="007C5B60">
      <w:pPr>
        <w:pStyle w:val="RTBodyText"/>
      </w:pPr>
      <w:r w:rsidRPr="007C5B60">
        <w:t>Amnesty International asked a number of medical professionals in different roles, including obstetrician/</w:t>
      </w:r>
      <w:proofErr w:type="spellStart"/>
      <w:r w:rsidRPr="007C5B60">
        <w:t>gynecologists</w:t>
      </w:r>
      <w:proofErr w:type="spellEnd"/>
      <w:r w:rsidRPr="007C5B60">
        <w:t xml:space="preserve"> and </w:t>
      </w:r>
      <w:proofErr w:type="spellStart"/>
      <w:r w:rsidRPr="007C5B60">
        <w:t>labor</w:t>
      </w:r>
      <w:proofErr w:type="spellEnd"/>
      <w:r w:rsidRPr="007C5B60">
        <w:t xml:space="preserve"> and delivery nurses about the protocols for obtaining informed consent for drug testing. There was a general lack of knowledge about how these decisions are made and whether there is any consistency between hospitals or medical providers. The </w:t>
      </w:r>
      <w:r w:rsidR="003C38B1">
        <w:t>D</w:t>
      </w:r>
      <w:r w:rsidRPr="007C5B60">
        <w:t>irector of a community corrections program in Birmingham explained to Amnesty International that:</w:t>
      </w:r>
    </w:p>
    <w:p w14:paraId="6355E37F" w14:textId="77D9A1F8" w:rsidR="007C5B60" w:rsidRPr="007C5B60" w:rsidRDefault="007C5B60" w:rsidP="007C5B60">
      <w:pPr>
        <w:pStyle w:val="RTSmallQuoteText"/>
      </w:pPr>
      <w:r w:rsidRPr="007C5B60">
        <w:t>“If she’s tested in the hospital, she might not know.  All hospitals have different rules.  A lot of it is random.  It’s not a real system. We’re kind of random here. You’ve got hospitals that report, that support arrests, you’ve got DAs interested in that, DAs that don’t.”</w:t>
      </w:r>
      <w:r>
        <w:rPr>
          <w:rStyle w:val="FootnoteReference"/>
        </w:rPr>
        <w:footnoteReference w:id="223"/>
      </w:r>
    </w:p>
    <w:p w14:paraId="67D4E9FD" w14:textId="77777777" w:rsidR="007C5B60" w:rsidRPr="00D121F4" w:rsidRDefault="007C5B60" w:rsidP="00552504">
      <w:pPr>
        <w:pStyle w:val="RTBodyText"/>
        <w:rPr>
          <w:shd w:val="clear" w:color="auto" w:fill="FFFFFF"/>
        </w:rPr>
      </w:pPr>
      <w:r w:rsidRPr="00563978">
        <w:rPr>
          <w:shd w:val="clear" w:color="auto" w:fill="FFFFFF"/>
        </w:rPr>
        <w:t>Several healthcare providers told us that the general hospital admissions forms, which cover basic consent to medical services, include drug testing as part of the general consent to receive medical care.</w:t>
      </w:r>
      <w:r w:rsidRPr="00563978">
        <w:rPr>
          <w:rStyle w:val="FootnoteReference"/>
          <w:rFonts w:ascii="Amnesty Trade Gothic" w:hAnsi="Amnesty Trade Gothic"/>
          <w:color w:val="000000"/>
          <w:shd w:val="clear" w:color="auto" w:fill="FFFFFF"/>
        </w:rPr>
        <w:footnoteReference w:id="224"/>
      </w:r>
      <w:r w:rsidRPr="00563978">
        <w:rPr>
          <w:shd w:val="clear" w:color="auto" w:fill="FFFFFF"/>
        </w:rPr>
        <w:t xml:space="preserve">  </w:t>
      </w:r>
    </w:p>
    <w:p w14:paraId="6E217ACE" w14:textId="06D9431B" w:rsidR="007C5B60" w:rsidRPr="00D121F4" w:rsidRDefault="007C5B60" w:rsidP="00552504">
      <w:pPr>
        <w:pStyle w:val="RTBodyText"/>
        <w:rPr>
          <w:rFonts w:ascii="Amnesty Trade Gothic" w:hAnsi="Amnesty Trade Gothic"/>
          <w:shd w:val="clear" w:color="auto" w:fill="FFFFFF"/>
        </w:rPr>
      </w:pPr>
      <w:r w:rsidRPr="00563978">
        <w:rPr>
          <w:rFonts w:ascii="Amnesty Trade Gothic" w:hAnsi="Amnesty Trade Gothic"/>
          <w:shd w:val="clear" w:color="auto" w:fill="FFFFFF"/>
        </w:rPr>
        <w:t>There was agreement from law enforcement, child welfare and drug court officials that women did not always know they were being tested</w:t>
      </w:r>
      <w:r>
        <w:rPr>
          <w:rFonts w:ascii="Amnesty Trade Gothic" w:hAnsi="Amnesty Trade Gothic"/>
          <w:shd w:val="clear" w:color="auto" w:fill="FFFFFF"/>
        </w:rPr>
        <w:t xml:space="preserve">. For example, </w:t>
      </w:r>
      <w:r w:rsidRPr="00504730">
        <w:rPr>
          <w:rFonts w:ascii="Amnesty Trade Gothic" w:hAnsi="Amnesty Trade Gothic"/>
          <w:shd w:val="clear" w:color="auto" w:fill="FFFFFF"/>
        </w:rPr>
        <w:t>District Attorney Steve Marshall</w:t>
      </w:r>
      <w:r w:rsidR="00552504">
        <w:rPr>
          <w:rFonts w:ascii="Amnesty Trade Gothic" w:hAnsi="Amnesty Trade Gothic"/>
          <w:shd w:val="clear" w:color="auto" w:fill="FFFFFF"/>
        </w:rPr>
        <w:t xml:space="preserve"> told Amnesty International</w:t>
      </w:r>
      <w:r>
        <w:rPr>
          <w:rFonts w:ascii="Amnesty Trade Gothic" w:hAnsi="Amnesty Trade Gothic"/>
          <w:shd w:val="clear" w:color="auto" w:fill="FFFFFF"/>
        </w:rPr>
        <w:t>:</w:t>
      </w:r>
    </w:p>
    <w:p w14:paraId="631BFF96" w14:textId="76BB9A79" w:rsidR="007C5B60" w:rsidRPr="007C5B60" w:rsidRDefault="007C5B60" w:rsidP="004E7FB8">
      <w:pPr>
        <w:pStyle w:val="RTSmallQuoteText"/>
      </w:pPr>
      <w:r w:rsidRPr="007C5B60">
        <w:t>“Did they sign a consent form to be drug tested? No, I don’t know.”</w:t>
      </w:r>
      <w:r>
        <w:rPr>
          <w:rStyle w:val="FootnoteReference"/>
        </w:rPr>
        <w:footnoteReference w:id="225"/>
      </w:r>
    </w:p>
    <w:p w14:paraId="59CD96E6" w14:textId="3111E577" w:rsidR="007C5B60" w:rsidRPr="007C5B60" w:rsidRDefault="007C5B60" w:rsidP="007C5B60">
      <w:pPr>
        <w:pStyle w:val="RTBodyText"/>
      </w:pPr>
      <w:r w:rsidRPr="007C5B60">
        <w:t xml:space="preserve">A Program Supervisor with Child Welfare in Alabama similarly told us that: “The women don’t know they are being tested or reported. I think that’s terrible… A hospital drug screen may not break everything down. A </w:t>
      </w:r>
      <w:r w:rsidRPr="007C5B60">
        <w:lastRenderedPageBreak/>
        <w:t>positive methamphetamine drug screen could be because of sinus medicine. Benzodiazepines could have been given to her by the hospital. A mom could also have a prescription for something. I think this happens often.”</w:t>
      </w:r>
      <w:r w:rsidRPr="007C5B60">
        <w:rPr>
          <w:vertAlign w:val="superscript"/>
        </w:rPr>
        <w:footnoteReference w:id="226"/>
      </w:r>
      <w:r w:rsidRPr="007C5B60">
        <w:t xml:space="preserve"> </w:t>
      </w:r>
    </w:p>
    <w:p w14:paraId="3F22CFFE" w14:textId="0EFD42E1" w:rsidR="007C5B60" w:rsidRPr="007C5B60" w:rsidRDefault="007C5B60" w:rsidP="007C5B60">
      <w:pPr>
        <w:pStyle w:val="RTBodyText"/>
      </w:pPr>
      <w:r w:rsidRPr="007C5B60">
        <w:t xml:space="preserve">Along these lines, a </w:t>
      </w:r>
      <w:proofErr w:type="spellStart"/>
      <w:r w:rsidRPr="007C5B60">
        <w:t>defense</w:t>
      </w:r>
      <w:proofErr w:type="spellEnd"/>
      <w:r w:rsidRPr="007C5B60">
        <w:t xml:space="preserve"> lawyer told Amnesty International that he could not imagine anyone would voluntarily submit for a drug test. “It’s skewed to younger people, those who are less savvy and don’t have the knowledge they can say no</w:t>
      </w:r>
      <w:r w:rsidR="003C38B1">
        <w:t>.</w:t>
      </w:r>
      <w:r w:rsidRPr="007C5B60">
        <w:t>”</w:t>
      </w:r>
      <w:r w:rsidRPr="007C5B60">
        <w:rPr>
          <w:vertAlign w:val="superscript"/>
        </w:rPr>
        <w:footnoteReference w:id="227"/>
      </w:r>
    </w:p>
    <w:p w14:paraId="35922654" w14:textId="56331FFF" w:rsidR="007C5B60" w:rsidRPr="007C5B60" w:rsidRDefault="007C5B60" w:rsidP="007C5B60">
      <w:pPr>
        <w:pStyle w:val="RTBodyText"/>
      </w:pPr>
      <w:r w:rsidRPr="007C5B60">
        <w:t>Investigative journalist Nina Martin</w:t>
      </w:r>
      <w:r w:rsidR="00B5146A">
        <w:t xml:space="preserve"> </w:t>
      </w:r>
      <w:r w:rsidRPr="007C5B60">
        <w:t xml:space="preserve">sought to investigate drug testing practices in Alabama by submitting a questionnaire to the 49 hospitals that </w:t>
      </w:r>
      <w:r w:rsidR="00B5146A">
        <w:t>have maternity wards</w:t>
      </w:r>
      <w:r w:rsidRPr="007C5B60">
        <w:t>. After repeated requests, 42 hospitals declined to answer, three provided only partial information.</w:t>
      </w:r>
      <w:r w:rsidRPr="007C5B60">
        <w:rPr>
          <w:vertAlign w:val="superscript"/>
        </w:rPr>
        <w:footnoteReference w:id="228"/>
      </w:r>
      <w:r w:rsidRPr="007C5B60">
        <w:t xml:space="preserve"> The sample of admissions forms obtained through the investigation listed vague boilerplate language </w:t>
      </w:r>
      <w:r w:rsidR="00B5146A">
        <w:t xml:space="preserve">asking for </w:t>
      </w:r>
      <w:r w:rsidRPr="007C5B60">
        <w:t>consent to “diagnostic procedures,” “usual and customary medical/emergency treatment,” and “other… care considered advisable or necessary by the physician.”</w:t>
      </w:r>
      <w:r w:rsidRPr="007C5B60">
        <w:rPr>
          <w:vertAlign w:val="superscript"/>
        </w:rPr>
        <w:footnoteReference w:id="229"/>
      </w:r>
      <w:r w:rsidRPr="007C5B60">
        <w:t xml:space="preserve">  </w:t>
      </w:r>
      <w:r w:rsidR="00B5146A">
        <w:t>R</w:t>
      </w:r>
      <w:r w:rsidRPr="007C5B60">
        <w:t>arely is drug testing specifically mentioned despite the fact that detailed rules are spelled out for far more mundane policies, such as the number of visitors allowed.</w:t>
      </w:r>
      <w:r w:rsidRPr="007C5B60">
        <w:rPr>
          <w:vertAlign w:val="superscript"/>
        </w:rPr>
        <w:footnoteReference w:id="230"/>
      </w:r>
    </w:p>
    <w:p w14:paraId="42D5434D" w14:textId="231CE710" w:rsidR="007C5B60" w:rsidRPr="007C5B60" w:rsidRDefault="007C5B60" w:rsidP="007C5B60">
      <w:pPr>
        <w:pStyle w:val="RTBodyText"/>
      </w:pPr>
      <w:r w:rsidRPr="007C5B60">
        <w:t>Amnesty International</w:t>
      </w:r>
      <w:r w:rsidR="003C38B1">
        <w:t>’s</w:t>
      </w:r>
      <w:r w:rsidRPr="007C5B60">
        <w:t xml:space="preserve"> interviews with women in treatment facilities further revealed that many women did not know that they were being tested.</w:t>
      </w:r>
    </w:p>
    <w:p w14:paraId="0A83B233" w14:textId="74E825B7" w:rsidR="007C5B60" w:rsidRPr="007C5B60" w:rsidRDefault="007C5B60" w:rsidP="007C5B60">
      <w:pPr>
        <w:pStyle w:val="RTBodyText"/>
      </w:pPr>
      <w:r w:rsidRPr="007C5B60">
        <w:t xml:space="preserve">Amber, who </w:t>
      </w:r>
      <w:r w:rsidR="003C38B1">
        <w:t xml:space="preserve">had </w:t>
      </w:r>
      <w:r w:rsidRPr="007C5B60">
        <w:t>g</w:t>
      </w:r>
      <w:r w:rsidR="003C38B1">
        <w:t xml:space="preserve">iven </w:t>
      </w:r>
      <w:r w:rsidRPr="007C5B60">
        <w:t xml:space="preserve">birth to twins and had lost custody of her older children due to drug use </w:t>
      </w:r>
      <w:r w:rsidR="003C38B1">
        <w:t>said:</w:t>
      </w:r>
    </w:p>
    <w:p w14:paraId="7957FE1B" w14:textId="77777777" w:rsidR="007C5B60" w:rsidRPr="007C5B60" w:rsidRDefault="007C5B60" w:rsidP="007C5B60">
      <w:pPr>
        <w:pStyle w:val="RTSmallQuoteText"/>
      </w:pPr>
      <w:r w:rsidRPr="007C5B60">
        <w:t xml:space="preserve">“Nope, they didn’t tell </w:t>
      </w:r>
      <w:proofErr w:type="gramStart"/>
      <w:r w:rsidRPr="007C5B60">
        <w:t>me</w:t>
      </w:r>
      <w:proofErr w:type="gramEnd"/>
      <w:r w:rsidRPr="007C5B60">
        <w:t xml:space="preserve"> anything about any drug tests or that I was positive for anything until the day it was time for us to leave the hospital and they told me I couldn’t take my babies with me and I’m going to jail. A DHR worker came and said you know you were positive for marijuana and cocaine and you’re not going to take your babies home.”</w:t>
      </w:r>
      <w:r w:rsidRPr="007C5B60">
        <w:rPr>
          <w:vertAlign w:val="superscript"/>
        </w:rPr>
        <w:footnoteReference w:id="231"/>
      </w:r>
      <w:r w:rsidRPr="007C5B60">
        <w:t xml:space="preserve"> </w:t>
      </w:r>
    </w:p>
    <w:p w14:paraId="3FBC38C3" w14:textId="592D1DEA" w:rsidR="007C5B60" w:rsidRPr="007C5B60" w:rsidRDefault="007C5B60" w:rsidP="007C5B60">
      <w:pPr>
        <w:pStyle w:val="RTBodyText"/>
      </w:pPr>
      <w:r w:rsidRPr="007C5B60">
        <w:t xml:space="preserve">Laurie </w:t>
      </w:r>
      <w:r w:rsidR="003C38B1">
        <w:t>said</w:t>
      </w:r>
      <w:r w:rsidRPr="007C5B60">
        <w:t>:</w:t>
      </w:r>
    </w:p>
    <w:p w14:paraId="32DA5A7F" w14:textId="77777777" w:rsidR="007C5B60" w:rsidRPr="007C5B60" w:rsidRDefault="007C5B60" w:rsidP="007C5B60">
      <w:pPr>
        <w:pStyle w:val="RTSmallQuoteText"/>
      </w:pPr>
      <w:r w:rsidRPr="007C5B60">
        <w:t>“No, the doctor never once told me that they were testing me. They knew I was dirty. They were doing blood tests on me. I didn’t know I had failed a drug test every time I went until after I had the baby.”</w:t>
      </w:r>
      <w:r w:rsidRPr="007C5B60">
        <w:rPr>
          <w:vertAlign w:val="superscript"/>
        </w:rPr>
        <w:footnoteReference w:id="232"/>
      </w:r>
      <w:r w:rsidRPr="007C5B60">
        <w:t xml:space="preserve"> </w:t>
      </w:r>
    </w:p>
    <w:p w14:paraId="44021021" w14:textId="7AC4773F" w:rsidR="007C5B60" w:rsidRDefault="007C5B60" w:rsidP="007C5B60">
      <w:pPr>
        <w:pStyle w:val="RTBodyText"/>
      </w:pPr>
      <w:r w:rsidRPr="007C5B60">
        <w:t>The widespread practice of drug testing women without informed consent has major human rights implications, particularly with regard to the rights to health and privacy. The ability to make decisions regarding individual healthcare is central to the enjoyment of these rights. The right to health, in particular, includes the right to “control one’s health and body” and the right to be free from “non-consensual medical treatment.”</w:t>
      </w:r>
      <w:r w:rsidRPr="007C5B60">
        <w:rPr>
          <w:vertAlign w:val="superscript"/>
        </w:rPr>
        <w:footnoteReference w:id="233"/>
      </w:r>
      <w:r w:rsidRPr="007C5B60">
        <w:t xml:space="preserve"> </w:t>
      </w:r>
    </w:p>
    <w:p w14:paraId="534F07D7" w14:textId="26ED8EC4" w:rsidR="007E47AC" w:rsidRDefault="007C5B60" w:rsidP="00757E9F">
      <w:pPr>
        <w:pStyle w:val="RTNumberedHeading"/>
      </w:pPr>
      <w:bookmarkStart w:id="42" w:name="_Toc482741442"/>
      <w:r w:rsidRPr="007C5B60">
        <w:t>IMPACT OF THE LAW: FEAR AND CONFUSION</w:t>
      </w:r>
      <w:bookmarkEnd w:id="42"/>
      <w:r w:rsidRPr="007C5B60">
        <w:t xml:space="preserve"> </w:t>
      </w:r>
    </w:p>
    <w:tbl>
      <w:tblPr>
        <w:tblStyle w:val="TableGrid2"/>
        <w:tblW w:w="8278" w:type="dxa"/>
        <w:tblBorders>
          <w:top w:val="none" w:sz="0" w:space="0" w:color="auto"/>
          <w:left w:val="single" w:sz="48" w:space="0" w:color="000000" w:themeColor="text1"/>
          <w:bottom w:val="none" w:sz="0" w:space="0" w:color="auto"/>
          <w:right w:val="none" w:sz="0" w:space="0" w:color="auto"/>
          <w:insideH w:val="none" w:sz="0" w:space="0" w:color="auto"/>
          <w:insideV w:val="none" w:sz="0" w:space="0" w:color="auto"/>
        </w:tblBorders>
        <w:tblLayout w:type="fixed"/>
        <w:tblCellMar>
          <w:top w:w="113" w:type="dxa"/>
          <w:left w:w="227" w:type="dxa"/>
          <w:right w:w="0" w:type="dxa"/>
        </w:tblCellMar>
        <w:tblLook w:val="04A0" w:firstRow="1" w:lastRow="0" w:firstColumn="1" w:lastColumn="0" w:noHBand="0" w:noVBand="1"/>
      </w:tblPr>
      <w:tblGrid>
        <w:gridCol w:w="8278"/>
      </w:tblGrid>
      <w:tr w:rsidR="00AF12B1" w:rsidRPr="00AF12B1" w14:paraId="542CFEBC" w14:textId="77777777" w:rsidTr="00D95B2D">
        <w:tc>
          <w:tcPr>
            <w:tcW w:w="8278" w:type="dxa"/>
          </w:tcPr>
          <w:p w14:paraId="60A5D017" w14:textId="247006A1" w:rsidR="00AF12B1" w:rsidRPr="00AF12B1" w:rsidRDefault="00AF12B1" w:rsidP="00AF12B1">
            <w:pPr>
              <w:suppressAutoHyphens/>
              <w:rPr>
                <w:rFonts w:asciiTheme="majorHAnsi" w:hAnsiTheme="majorHAnsi"/>
                <w:b/>
                <w:sz w:val="36"/>
                <w:szCs w:val="24"/>
                <w:lang w:val="en-GB" w:eastAsia="en-GB"/>
              </w:rPr>
            </w:pPr>
            <w:r w:rsidRPr="00AF12B1">
              <w:rPr>
                <w:rFonts w:asciiTheme="majorHAnsi" w:hAnsiTheme="majorHAnsi"/>
                <w:b/>
                <w:sz w:val="36"/>
                <w:szCs w:val="24"/>
                <w:lang w:eastAsia="en-GB"/>
              </w:rPr>
              <w:t xml:space="preserve">“Criminalization is often referred to by its proponents as a ‘velvet </w:t>
            </w:r>
            <w:proofErr w:type="gramStart"/>
            <w:r w:rsidRPr="00AF12B1">
              <w:rPr>
                <w:rFonts w:asciiTheme="majorHAnsi" w:hAnsiTheme="majorHAnsi"/>
                <w:b/>
                <w:sz w:val="36"/>
                <w:szCs w:val="24"/>
                <w:lang w:eastAsia="en-GB"/>
              </w:rPr>
              <w:t>hammer</w:t>
            </w:r>
            <w:proofErr w:type="gramEnd"/>
            <w:r w:rsidRPr="00AF12B1">
              <w:rPr>
                <w:rFonts w:asciiTheme="majorHAnsi" w:hAnsiTheme="majorHAnsi"/>
                <w:b/>
                <w:sz w:val="36"/>
                <w:szCs w:val="24"/>
                <w:lang w:eastAsia="en-GB"/>
              </w:rPr>
              <w:t>’ approach to getting pregnant women to seek help for issues with substance use. But you don’</w:t>
            </w:r>
            <w:r>
              <w:rPr>
                <w:rFonts w:asciiTheme="majorHAnsi" w:hAnsiTheme="majorHAnsi"/>
                <w:b/>
                <w:sz w:val="36"/>
                <w:szCs w:val="24"/>
                <w:lang w:eastAsia="en-GB"/>
              </w:rPr>
              <w:t>t provide health</w:t>
            </w:r>
            <w:r w:rsidRPr="00AF12B1">
              <w:rPr>
                <w:rFonts w:asciiTheme="majorHAnsi" w:hAnsiTheme="majorHAnsi"/>
                <w:b/>
                <w:sz w:val="36"/>
                <w:szCs w:val="24"/>
                <w:lang w:eastAsia="en-GB"/>
              </w:rPr>
              <w:t>care with a hammer. There is a growing understanding that there is a maternal health crisis in the USA, but it’s not something we can arrest our way out of.”  </w:t>
            </w:r>
          </w:p>
        </w:tc>
      </w:tr>
      <w:tr w:rsidR="00AF12B1" w:rsidRPr="00AF12B1" w14:paraId="63B909BA" w14:textId="77777777" w:rsidTr="00D95B2D">
        <w:tc>
          <w:tcPr>
            <w:tcW w:w="8278" w:type="dxa"/>
          </w:tcPr>
          <w:p w14:paraId="5D356037" w14:textId="77777777" w:rsidR="00AF12B1" w:rsidRPr="00AF12B1" w:rsidRDefault="00AF12B1" w:rsidP="00AF12B1">
            <w:pPr>
              <w:suppressAutoHyphens/>
              <w:spacing w:after="120"/>
              <w:rPr>
                <w:rFonts w:asciiTheme="majorHAnsi" w:hAnsiTheme="majorHAnsi"/>
                <w:b/>
                <w:sz w:val="36"/>
                <w:szCs w:val="24"/>
                <w:lang w:val="en-GB" w:eastAsia="en-GB"/>
              </w:rPr>
            </w:pPr>
            <w:r w:rsidRPr="00AF12B1">
              <w:rPr>
                <w:rFonts w:ascii="Amnesty Trade Gothic Cn" w:hAnsi="Amnesty Trade Gothic Cn"/>
                <w:sz w:val="18"/>
                <w:szCs w:val="24"/>
                <w:lang w:val="en-GB" w:eastAsia="en-GB"/>
              </w:rPr>
              <w:t>Farah Diaz-</w:t>
            </w:r>
            <w:proofErr w:type="spellStart"/>
            <w:r w:rsidRPr="00AF12B1">
              <w:rPr>
                <w:rFonts w:ascii="Amnesty Trade Gothic Cn" w:hAnsi="Amnesty Trade Gothic Cn"/>
                <w:sz w:val="18"/>
                <w:szCs w:val="24"/>
                <w:lang w:val="en-GB" w:eastAsia="en-GB"/>
              </w:rPr>
              <w:t>Tello</w:t>
            </w:r>
            <w:proofErr w:type="spellEnd"/>
            <w:r w:rsidRPr="00AF12B1">
              <w:rPr>
                <w:rFonts w:ascii="Amnesty Trade Gothic Cn" w:hAnsi="Amnesty Trade Gothic Cn"/>
                <w:sz w:val="18"/>
                <w:szCs w:val="24"/>
                <w:lang w:val="en-GB" w:eastAsia="en-GB"/>
              </w:rPr>
              <w:t>, Human Rights Attorney, New York, January 2017</w:t>
            </w:r>
          </w:p>
        </w:tc>
      </w:tr>
    </w:tbl>
    <w:p w14:paraId="082D1099" w14:textId="591F9BFF" w:rsidR="007E47AC" w:rsidRPr="007E47AC" w:rsidRDefault="007E47AC" w:rsidP="007E47AC">
      <w:pPr>
        <w:pStyle w:val="RTBodyText"/>
        <w:rPr>
          <w:lang w:eastAsia="en-GB"/>
        </w:rPr>
      </w:pPr>
      <w:r w:rsidRPr="007E47AC">
        <w:rPr>
          <w:lang w:eastAsia="en-GB"/>
        </w:rPr>
        <w:lastRenderedPageBreak/>
        <w:t>While some prosecutors in Alabama make a point to publicize their tough stance on drug use during pregnancy, the goal is not necessarily to place women in jail, but instead, in one District Attorney’s opinion, “compulsory rehabilitation,”</w:t>
      </w:r>
      <w:r w:rsidRPr="007E47AC">
        <w:rPr>
          <w:vertAlign w:val="superscript"/>
          <w:lang w:eastAsia="en-GB"/>
        </w:rPr>
        <w:footnoteReference w:id="234"/>
      </w:r>
      <w:r w:rsidRPr="007E47AC">
        <w:rPr>
          <w:lang w:eastAsia="en-GB"/>
        </w:rPr>
        <w:t xml:space="preserve"> meaning that the criminal justice system is using its tools to push women into drug treatment. Another District Attorney described the law as a “hammer over your head” that ensures some leverage.</w:t>
      </w:r>
      <w:r w:rsidRPr="007E47AC">
        <w:rPr>
          <w:vertAlign w:val="superscript"/>
          <w:lang w:eastAsia="en-GB"/>
        </w:rPr>
        <w:footnoteReference w:id="235"/>
      </w:r>
      <w:r w:rsidRPr="007E47AC">
        <w:rPr>
          <w:lang w:eastAsia="en-GB"/>
        </w:rPr>
        <w:t xml:space="preserve"> Similarly, </w:t>
      </w:r>
      <w:proofErr w:type="spellStart"/>
      <w:r w:rsidRPr="007E47AC">
        <w:rPr>
          <w:lang w:eastAsia="en-GB"/>
        </w:rPr>
        <w:t>Marchetta</w:t>
      </w:r>
      <w:proofErr w:type="spellEnd"/>
      <w:r w:rsidRPr="007E47AC">
        <w:rPr>
          <w:lang w:eastAsia="en-GB"/>
        </w:rPr>
        <w:t xml:space="preserve"> Shawl, an employee with the Marshall County Court Referral Services, told Amnesty International that: “</w:t>
      </w:r>
      <w:r w:rsidR="001C2B07">
        <w:rPr>
          <w:lang w:eastAsia="en-GB"/>
        </w:rPr>
        <w:t>W</w:t>
      </w:r>
      <w:r w:rsidRPr="007E47AC">
        <w:rPr>
          <w:lang w:eastAsia="en-GB"/>
        </w:rPr>
        <w:t>ithout it [drug use while pregnant] being a crime you have no way to make them do what you want.”</w:t>
      </w:r>
      <w:r w:rsidRPr="007E47AC">
        <w:rPr>
          <w:vertAlign w:val="superscript"/>
          <w:lang w:eastAsia="en-GB"/>
        </w:rPr>
        <w:footnoteReference w:id="236"/>
      </w:r>
      <w:r w:rsidRPr="007E47AC">
        <w:rPr>
          <w:lang w:eastAsia="en-GB"/>
        </w:rPr>
        <w:t xml:space="preserve"> </w:t>
      </w:r>
    </w:p>
    <w:p w14:paraId="43E27CBF" w14:textId="2AAFA5E5" w:rsidR="007E47AC" w:rsidRPr="007E47AC" w:rsidRDefault="007E47AC" w:rsidP="007E47AC">
      <w:pPr>
        <w:pStyle w:val="RTBodyText"/>
        <w:rPr>
          <w:lang w:eastAsia="en-GB"/>
        </w:rPr>
      </w:pPr>
      <w:r w:rsidRPr="007E47AC">
        <w:rPr>
          <w:lang w:eastAsia="en-GB"/>
        </w:rPr>
        <w:t>Amnesty International’s interviews with women impacted by the “chemical endangerment” law indicate that the law instils fear in women, but this fear may not necessarily promote practices improv</w:t>
      </w:r>
      <w:r w:rsidR="001C2B07">
        <w:rPr>
          <w:lang w:eastAsia="en-GB"/>
        </w:rPr>
        <w:t>ing</w:t>
      </w:r>
      <w:r w:rsidRPr="007E47AC">
        <w:rPr>
          <w:lang w:eastAsia="en-GB"/>
        </w:rPr>
        <w:t xml:space="preserve"> their health or the health of their pregnancies. </w:t>
      </w:r>
      <w:proofErr w:type="gramStart"/>
      <w:r w:rsidRPr="007E47AC">
        <w:rPr>
          <w:lang w:eastAsia="en-GB"/>
        </w:rPr>
        <w:t>Fear can</w:t>
      </w:r>
      <w:proofErr w:type="gramEnd"/>
      <w:r w:rsidRPr="007E47AC">
        <w:rPr>
          <w:lang w:eastAsia="en-GB"/>
        </w:rPr>
        <w:t xml:space="preserve"> either disincentive care, or for those who do not know about the law, have no impact at all. </w:t>
      </w:r>
    </w:p>
    <w:p w14:paraId="20FDA572" w14:textId="2F7BFC7D" w:rsidR="007E47AC" w:rsidRPr="007E47AC" w:rsidRDefault="007E47AC" w:rsidP="007E47AC">
      <w:pPr>
        <w:pStyle w:val="RTBodyText"/>
        <w:rPr>
          <w:i/>
          <w:lang w:eastAsia="en-GB"/>
        </w:rPr>
      </w:pPr>
      <w:r w:rsidRPr="007E47AC">
        <w:rPr>
          <w:lang w:eastAsia="en-GB"/>
        </w:rPr>
        <w:t>Those going through times of crisis are in need of healthcare and other services and the law does nothing to address this. Another woman in residential treatment told Amnesty International:</w:t>
      </w:r>
      <w:r w:rsidRPr="007E47AC">
        <w:rPr>
          <w:i/>
          <w:lang w:eastAsia="en-GB"/>
        </w:rPr>
        <w:t xml:space="preserve"> </w:t>
      </w:r>
    </w:p>
    <w:p w14:paraId="3DC0DA09" w14:textId="77777777" w:rsidR="007E47AC" w:rsidRPr="007E47AC" w:rsidRDefault="007E47AC" w:rsidP="007E47AC">
      <w:pPr>
        <w:pStyle w:val="RTSmallQuoteText"/>
        <w:rPr>
          <w:lang w:eastAsia="en-GB"/>
        </w:rPr>
      </w:pPr>
      <w:r w:rsidRPr="007E47AC">
        <w:rPr>
          <w:lang w:eastAsia="en-GB"/>
        </w:rPr>
        <w:t>“I’d not heard or thought about the law – it’s not something I think of. When I lost my husband, mentally I lost my mind. I was unaware of things going on around me, much less myself.”</w:t>
      </w:r>
      <w:r w:rsidRPr="007E47AC">
        <w:rPr>
          <w:vertAlign w:val="superscript"/>
          <w:lang w:eastAsia="en-GB"/>
        </w:rPr>
        <w:footnoteReference w:id="237"/>
      </w:r>
      <w:r w:rsidRPr="007E47AC">
        <w:rPr>
          <w:lang w:eastAsia="en-GB"/>
        </w:rPr>
        <w:t xml:space="preserve"> </w:t>
      </w:r>
    </w:p>
    <w:p w14:paraId="2A795A05" w14:textId="47982264" w:rsidR="007E47AC" w:rsidRPr="007E47AC" w:rsidRDefault="007E47AC" w:rsidP="007E47AC">
      <w:pPr>
        <w:pStyle w:val="RTBodyText"/>
        <w:rPr>
          <w:lang w:eastAsia="en-GB"/>
        </w:rPr>
      </w:pPr>
      <w:r w:rsidRPr="007E47AC">
        <w:rPr>
          <w:lang w:eastAsia="en-GB"/>
        </w:rPr>
        <w:t>Amnesty International’s interviews with pregnant women in Alabama indicated that while many women did not have an in-depth understanding of the specifics of the law, they were still fearful. This fear impacted encounters with medical professionals. A 29</w:t>
      </w:r>
      <w:r w:rsidR="001C2B07">
        <w:rPr>
          <w:lang w:eastAsia="en-GB"/>
        </w:rPr>
        <w:t>-</w:t>
      </w:r>
      <w:r w:rsidRPr="007E47AC">
        <w:rPr>
          <w:lang w:eastAsia="en-GB"/>
        </w:rPr>
        <w:t xml:space="preserve">year-old </w:t>
      </w:r>
      <w:r w:rsidR="001C2B07">
        <w:rPr>
          <w:lang w:eastAsia="en-GB"/>
        </w:rPr>
        <w:t>b</w:t>
      </w:r>
      <w:r w:rsidRPr="007E47AC">
        <w:rPr>
          <w:lang w:eastAsia="en-GB"/>
        </w:rPr>
        <w:t>lack woman escaping an abusive relationship and struggling with depression</w:t>
      </w:r>
      <w:r w:rsidR="001C2B07">
        <w:rPr>
          <w:lang w:eastAsia="en-GB"/>
        </w:rPr>
        <w:t xml:space="preserve"> said</w:t>
      </w:r>
      <w:r w:rsidRPr="007E47AC">
        <w:rPr>
          <w:lang w:eastAsia="en-GB"/>
        </w:rPr>
        <w:t>:</w:t>
      </w:r>
    </w:p>
    <w:p w14:paraId="791FDB7C" w14:textId="400768D1" w:rsidR="007E47AC" w:rsidRDefault="007E47AC" w:rsidP="007E47AC">
      <w:pPr>
        <w:pStyle w:val="RTBodyText"/>
        <w:rPr>
          <w:lang w:eastAsia="en-GB"/>
        </w:rPr>
      </w:pPr>
      <w:r w:rsidRPr="007E47AC">
        <w:rPr>
          <w:lang w:eastAsia="en-GB"/>
        </w:rPr>
        <w:t xml:space="preserve">“This law is in the news and I’m scared as hell because I was a drug addict. I’m scared because I don’t know </w:t>
      </w:r>
      <w:proofErr w:type="gramStart"/>
      <w:r w:rsidRPr="007E47AC">
        <w:rPr>
          <w:lang w:eastAsia="en-GB"/>
        </w:rPr>
        <w:t>nothing</w:t>
      </w:r>
      <w:proofErr w:type="gramEnd"/>
      <w:r w:rsidRPr="007E47AC">
        <w:rPr>
          <w:lang w:eastAsia="en-GB"/>
        </w:rPr>
        <w:t xml:space="preserve"> about </w:t>
      </w:r>
      <w:r w:rsidR="00F14B73">
        <w:rPr>
          <w:lang w:eastAsia="en-GB"/>
        </w:rPr>
        <w:t>‘</w:t>
      </w:r>
      <w:r w:rsidRPr="007E47AC">
        <w:rPr>
          <w:lang w:eastAsia="en-GB"/>
        </w:rPr>
        <w:t>chemical endangerment</w:t>
      </w:r>
      <w:r w:rsidR="00F14B73">
        <w:rPr>
          <w:lang w:eastAsia="en-GB"/>
        </w:rPr>
        <w:t>’</w:t>
      </w:r>
      <w:r w:rsidRPr="007E47AC">
        <w:rPr>
          <w:lang w:eastAsia="en-GB"/>
        </w:rPr>
        <w:t xml:space="preserve"> and it’s not right that those of us who get help are going to get charged…</w:t>
      </w:r>
      <w:r w:rsidR="001C2B07">
        <w:rPr>
          <w:lang w:eastAsia="en-GB"/>
        </w:rPr>
        <w:t xml:space="preserve"> </w:t>
      </w:r>
      <w:r w:rsidRPr="007E47AC">
        <w:rPr>
          <w:lang w:eastAsia="en-GB"/>
        </w:rPr>
        <w:t>I feel like they’re after me. I’m just worried. It makes me scared because you can’t really trust what they’re really saying. If you’re pregnant and you go to rehab you can still get charged and they can take your baby. Women are coming back from the hospital here and they don’t have their babies. So why seek help if you’re going to get a charge? Back in the day women didn’t have ultrasounds and that stuff. That’s the way I would do it n</w:t>
      </w:r>
      <w:r w:rsidR="00552504">
        <w:rPr>
          <w:lang w:eastAsia="en-GB"/>
        </w:rPr>
        <w:t>ow. I wouldn’t go to the doctor</w:t>
      </w:r>
      <w:r w:rsidRPr="007E47AC">
        <w:rPr>
          <w:lang w:eastAsia="en-GB"/>
        </w:rPr>
        <w:t>.”</w:t>
      </w:r>
      <w:r w:rsidRPr="007E47AC">
        <w:rPr>
          <w:vertAlign w:val="superscript"/>
          <w:lang w:eastAsia="en-GB"/>
        </w:rPr>
        <w:footnoteReference w:id="238"/>
      </w:r>
      <w:r w:rsidRPr="007E47AC">
        <w:rPr>
          <w:lang w:eastAsia="en-GB"/>
        </w:rPr>
        <w:t xml:space="preserve"> </w:t>
      </w:r>
    </w:p>
    <w:p w14:paraId="5634188F" w14:textId="482908B7" w:rsidR="007E47AC" w:rsidRDefault="007E47AC" w:rsidP="007E47AC">
      <w:pPr>
        <w:pStyle w:val="RTNumberedHeading"/>
      </w:pPr>
      <w:bookmarkStart w:id="43" w:name="_Toc482741443"/>
      <w:r>
        <w:t>Drug Courts: Fines</w:t>
      </w:r>
      <w:r w:rsidR="007754F5">
        <w:t xml:space="preserve"> and </w:t>
      </w:r>
      <w:r>
        <w:t>Fees</w:t>
      </w:r>
      <w:bookmarkEnd w:id="43"/>
    </w:p>
    <w:p w14:paraId="36F47D03" w14:textId="69403A61" w:rsidR="007E47AC" w:rsidRPr="007E47AC" w:rsidRDefault="007E47AC" w:rsidP="007E47AC">
      <w:pPr>
        <w:pStyle w:val="RTBodyText"/>
        <w:rPr>
          <w:lang w:val="en-US" w:eastAsia="en-GB"/>
        </w:rPr>
      </w:pPr>
      <w:r w:rsidRPr="007E47AC">
        <w:rPr>
          <w:lang w:eastAsia="en-GB"/>
        </w:rPr>
        <w:t>Drug Courts are a specialized kind of court program that typically offers supervised treatment for drug dependence. The aim of these programs is to divert people who are drug</w:t>
      </w:r>
      <w:r w:rsidR="001C2B07">
        <w:rPr>
          <w:lang w:eastAsia="en-GB"/>
        </w:rPr>
        <w:t>-</w:t>
      </w:r>
      <w:r w:rsidRPr="007E47AC">
        <w:rPr>
          <w:lang w:eastAsia="en-GB"/>
        </w:rPr>
        <w:t>dependent from incarceration into treatment.</w:t>
      </w:r>
      <w:r w:rsidRPr="007E47AC">
        <w:rPr>
          <w:vertAlign w:val="superscript"/>
          <w:lang w:eastAsia="en-GB"/>
        </w:rPr>
        <w:footnoteReference w:id="239"/>
      </w:r>
      <w:r w:rsidRPr="007E47AC">
        <w:rPr>
          <w:lang w:eastAsia="en-GB"/>
        </w:rPr>
        <w:t xml:space="preserve"> Family drug court programs are for families involved with Child Protective Services due to parental drug use. For example, a woman charged with “chemical endangerment” might receive an offer to get out of jail on bond if she is </w:t>
      </w:r>
      <w:r w:rsidRPr="007E47AC">
        <w:rPr>
          <w:lang w:val="en-US" w:eastAsia="en-GB"/>
        </w:rPr>
        <w:t>enrolls</w:t>
      </w:r>
      <w:r w:rsidRPr="007E47AC">
        <w:rPr>
          <w:lang w:eastAsia="en-GB"/>
        </w:rPr>
        <w:t xml:space="preserve"> in a residential treatment program and is able to adhere to the terms of the program.</w:t>
      </w:r>
    </w:p>
    <w:p w14:paraId="5C6CC044" w14:textId="600C9CA3" w:rsidR="007E47AC" w:rsidRPr="007E47AC" w:rsidRDefault="007E47AC" w:rsidP="007E47AC">
      <w:pPr>
        <w:pStyle w:val="RTBodyText"/>
        <w:rPr>
          <w:lang w:eastAsia="en-GB"/>
        </w:rPr>
      </w:pPr>
      <w:r w:rsidRPr="007E47AC">
        <w:rPr>
          <w:lang w:eastAsia="en-GB"/>
        </w:rPr>
        <w:t>A 24 year-old woman in treatment in Alabama raised concern with this model, telling Amnesty International: “You have to pay a whole bunch of money and before you ever get sentenced or charged with anything, you’re already pretty much guilty, because you have to do their system. Even when you go to court, if you’re proven innocent, you don’t get any kind of money back or anything.”</w:t>
      </w:r>
      <w:r w:rsidRPr="007E47AC">
        <w:rPr>
          <w:vertAlign w:val="superscript"/>
          <w:lang w:eastAsia="en-GB"/>
        </w:rPr>
        <w:footnoteReference w:id="240"/>
      </w:r>
      <w:r w:rsidRPr="007E47AC">
        <w:rPr>
          <w:lang w:eastAsia="en-GB"/>
        </w:rPr>
        <w:t xml:space="preserve"> </w:t>
      </w:r>
    </w:p>
    <w:p w14:paraId="5318EB49" w14:textId="77777777" w:rsidR="007E47AC" w:rsidRPr="007E47AC" w:rsidRDefault="007E47AC" w:rsidP="007E47AC">
      <w:pPr>
        <w:pStyle w:val="RTBodyText"/>
        <w:rPr>
          <w:i/>
          <w:lang w:eastAsia="en-GB"/>
        </w:rPr>
      </w:pPr>
      <w:r w:rsidRPr="007E47AC">
        <w:rPr>
          <w:lang w:eastAsia="en-GB"/>
        </w:rPr>
        <w:t>Some advocates are critical of the “drug court” model, finding that it shifts costs onto low-income people. For example, attorney Brian White told Amnesty International:</w:t>
      </w:r>
    </w:p>
    <w:p w14:paraId="7E072FA6" w14:textId="06912FE2" w:rsidR="007E47AC" w:rsidRPr="007E47AC" w:rsidRDefault="007E47AC" w:rsidP="00037A48">
      <w:pPr>
        <w:pStyle w:val="RTSmallQuoteText"/>
        <w:rPr>
          <w:lang w:eastAsia="en-GB"/>
        </w:rPr>
      </w:pPr>
      <w:r w:rsidRPr="007E47AC">
        <w:rPr>
          <w:lang w:eastAsia="en-GB"/>
        </w:rPr>
        <w:t>“They’re funding the criminal justice system on the backs of poor people. The fire department doesn’t bill, but the criminal justice system works this way. Pre-trial intervention program sticks it to the offenders to pay for the system. It takes food out of children’s mouths. First the house, now the car, now the money goes to the DA instead of family stability</w:t>
      </w:r>
      <w:r w:rsidR="001C2B07">
        <w:rPr>
          <w:lang w:eastAsia="en-GB"/>
        </w:rPr>
        <w:t>.</w:t>
      </w:r>
      <w:r w:rsidRPr="007E47AC">
        <w:rPr>
          <w:lang w:eastAsia="en-GB"/>
        </w:rPr>
        <w:t>”</w:t>
      </w:r>
      <w:r w:rsidRPr="007E47AC">
        <w:rPr>
          <w:vertAlign w:val="superscript"/>
          <w:lang w:eastAsia="en-GB"/>
        </w:rPr>
        <w:footnoteReference w:id="241"/>
      </w:r>
    </w:p>
    <w:p w14:paraId="74BBF53A" w14:textId="5EE20DA7" w:rsidR="007E47AC" w:rsidRPr="007E47AC" w:rsidRDefault="007E47AC" w:rsidP="007E47AC">
      <w:pPr>
        <w:pStyle w:val="RTBodyText"/>
        <w:rPr>
          <w:lang w:eastAsia="en-GB"/>
        </w:rPr>
      </w:pPr>
      <w:r w:rsidRPr="007E47AC">
        <w:rPr>
          <w:lang w:eastAsia="en-GB"/>
        </w:rPr>
        <w:lastRenderedPageBreak/>
        <w:t>The Executive Director of an organization serving women in prison explained that the drug court approach is appealing to some policy</w:t>
      </w:r>
      <w:r w:rsidR="001C2B07">
        <w:rPr>
          <w:lang w:eastAsia="en-GB"/>
        </w:rPr>
        <w:t>-</w:t>
      </w:r>
      <w:r w:rsidRPr="007E47AC">
        <w:rPr>
          <w:lang w:eastAsia="en-GB"/>
        </w:rPr>
        <w:t>makers seeking to address Alabama’s over-burdened criminal justice system.</w:t>
      </w:r>
      <w:r w:rsidRPr="007E47AC">
        <w:rPr>
          <w:vertAlign w:val="superscript"/>
          <w:lang w:eastAsia="en-GB"/>
        </w:rPr>
        <w:footnoteReference w:id="242"/>
      </w:r>
      <w:r w:rsidRPr="007E47AC">
        <w:rPr>
          <w:lang w:eastAsia="en-GB"/>
        </w:rPr>
        <w:t xml:space="preserve">  Once arrested for “chemical endangerment,” county jails are quick to remove pregnant women from their charge. Chief Deputy of Detention, Scott </w:t>
      </w:r>
      <w:proofErr w:type="spellStart"/>
      <w:r w:rsidRPr="007E47AC">
        <w:rPr>
          <w:lang w:eastAsia="en-GB"/>
        </w:rPr>
        <w:t>Hassell</w:t>
      </w:r>
      <w:proofErr w:type="spellEnd"/>
      <w:r w:rsidRPr="007E47AC">
        <w:rPr>
          <w:lang w:eastAsia="en-GB"/>
        </w:rPr>
        <w:t>, explained to Amnesty International that “as a prison administrator, the last thing I want is a pregnant female in jail.”</w:t>
      </w:r>
      <w:r w:rsidRPr="007E47AC">
        <w:rPr>
          <w:vertAlign w:val="superscript"/>
          <w:lang w:eastAsia="en-GB"/>
        </w:rPr>
        <w:footnoteReference w:id="243"/>
      </w:r>
      <w:r w:rsidRPr="007E47AC">
        <w:rPr>
          <w:lang w:eastAsia="en-GB"/>
        </w:rPr>
        <w:t xml:space="preserve"> </w:t>
      </w:r>
    </w:p>
    <w:p w14:paraId="73B940FA" w14:textId="2EC4900E" w:rsidR="00037A48" w:rsidRPr="00037A48" w:rsidRDefault="00037A48" w:rsidP="00037A48">
      <w:pPr>
        <w:pStyle w:val="RTBodyText"/>
        <w:rPr>
          <w:lang w:eastAsia="en-GB"/>
        </w:rPr>
      </w:pPr>
      <w:r w:rsidRPr="00037A48">
        <w:rPr>
          <w:lang w:eastAsia="en-GB"/>
        </w:rPr>
        <w:t>According to interviews Amnesty International conducted with two women who had been released in 2014 from Alabama’s Tutwiler Prison for Women,</w:t>
      </w:r>
      <w:r w:rsidRPr="00037A48">
        <w:rPr>
          <w:b/>
          <w:lang w:eastAsia="en-GB"/>
        </w:rPr>
        <w:t xml:space="preserve"> </w:t>
      </w:r>
      <w:r w:rsidRPr="00037A48">
        <w:rPr>
          <w:lang w:eastAsia="en-GB"/>
        </w:rPr>
        <w:t>conditions in detention are dangerous and healthcare is poor.</w:t>
      </w:r>
      <w:r w:rsidRPr="00037A48">
        <w:rPr>
          <w:vertAlign w:val="superscript"/>
          <w:lang w:eastAsia="en-GB"/>
        </w:rPr>
        <w:footnoteReference w:id="244"/>
      </w:r>
      <w:r w:rsidRPr="00037A48">
        <w:rPr>
          <w:lang w:eastAsia="en-GB"/>
        </w:rPr>
        <w:t xml:space="preserve"> At the time of these interviews, the Tutwiler Prison for Women was under federal investigation for violence and sexual abuse. In May 2015, the state of Alabama reached a settlement to protect prisoners from staff sexual abuse and violence. </w:t>
      </w:r>
      <w:r w:rsidRPr="00037A48">
        <w:rPr>
          <w:vertAlign w:val="superscript"/>
          <w:lang w:eastAsia="en-GB"/>
        </w:rPr>
        <w:footnoteReference w:id="245"/>
      </w:r>
      <w:r w:rsidR="00BC0557">
        <w:rPr>
          <w:lang w:eastAsia="en-GB"/>
        </w:rPr>
        <w:t xml:space="preserve"> A woman who was recently released from Tutwiler told </w:t>
      </w:r>
      <w:r w:rsidR="001C2B07">
        <w:rPr>
          <w:lang w:eastAsia="en-GB"/>
        </w:rPr>
        <w:t>Amnesty International</w:t>
      </w:r>
      <w:r w:rsidR="00BC0557">
        <w:rPr>
          <w:lang w:eastAsia="en-GB"/>
        </w:rPr>
        <w:t>:</w:t>
      </w:r>
    </w:p>
    <w:p w14:paraId="3CD48A28" w14:textId="5D059FDE" w:rsidR="00037A48" w:rsidRPr="00037A48" w:rsidRDefault="00037A48" w:rsidP="00037A48">
      <w:pPr>
        <w:pStyle w:val="RTSmallQuoteText"/>
      </w:pPr>
      <w:r w:rsidRPr="00037A48">
        <w:t>“There are drugs in the jail system… it makes no sense to charge a pregnant woman and throw her in jail where there are drugs everywhere.”</w:t>
      </w:r>
      <w:r>
        <w:rPr>
          <w:rStyle w:val="FootnoteReference"/>
        </w:rPr>
        <w:footnoteReference w:id="246"/>
      </w:r>
    </w:p>
    <w:p w14:paraId="19ECB4A0" w14:textId="3AE40D5A" w:rsidR="007E47AC" w:rsidRDefault="00037A48" w:rsidP="00037A48">
      <w:pPr>
        <w:pStyle w:val="RTNumberedHeading"/>
      </w:pPr>
      <w:bookmarkStart w:id="44" w:name="_Toc482741444"/>
      <w:r>
        <w:t>Court-mandated residential treatment</w:t>
      </w:r>
      <w:bookmarkEnd w:id="44"/>
    </w:p>
    <w:p w14:paraId="6EF1710D" w14:textId="4A5B08C0" w:rsidR="00037A48" w:rsidRPr="00037A48" w:rsidRDefault="00037A48" w:rsidP="00037A48">
      <w:pPr>
        <w:pStyle w:val="RTBodyText"/>
        <w:rPr>
          <w:lang w:eastAsia="en-GB"/>
        </w:rPr>
      </w:pPr>
      <w:r w:rsidRPr="00037A48">
        <w:rPr>
          <w:lang w:eastAsia="en-GB"/>
        </w:rPr>
        <w:t>Promoted as an alternative to prison, women charged with “chemical endangerment” in some counties in Alabama are sent to a residential treatment facility in Birmingham. This facility actively promotes its services, and even has a community outreach specialist, who is in close contact with the law enforcement officials in a number of counties.</w:t>
      </w:r>
      <w:r w:rsidRPr="00037A48">
        <w:rPr>
          <w:vertAlign w:val="superscript"/>
          <w:lang w:eastAsia="en-GB"/>
        </w:rPr>
        <w:footnoteReference w:id="247"/>
      </w:r>
      <w:r w:rsidRPr="00037A48">
        <w:rPr>
          <w:lang w:eastAsia="en-GB"/>
        </w:rPr>
        <w:t xml:space="preserve"> Chris </w:t>
      </w:r>
      <w:proofErr w:type="spellStart"/>
      <w:r w:rsidRPr="00037A48">
        <w:rPr>
          <w:lang w:eastAsia="en-GB"/>
        </w:rPr>
        <w:t>Retan</w:t>
      </w:r>
      <w:proofErr w:type="spellEnd"/>
      <w:r w:rsidRPr="00037A48">
        <w:rPr>
          <w:lang w:eastAsia="en-GB"/>
        </w:rPr>
        <w:t xml:space="preserve">, Executive Director of </w:t>
      </w:r>
      <w:proofErr w:type="spellStart"/>
      <w:r w:rsidRPr="00037A48">
        <w:rPr>
          <w:lang w:eastAsia="en-GB"/>
        </w:rPr>
        <w:t>Aletheia</w:t>
      </w:r>
      <w:proofErr w:type="spellEnd"/>
      <w:r w:rsidRPr="00037A48">
        <w:rPr>
          <w:lang w:eastAsia="en-GB"/>
        </w:rPr>
        <w:t xml:space="preserve"> House, explained to Amnesty International that the outreach specialist’s job is “to go to the judge and pick people up.”</w:t>
      </w:r>
      <w:r w:rsidRPr="00037A48">
        <w:rPr>
          <w:vertAlign w:val="superscript"/>
          <w:lang w:eastAsia="en-GB"/>
        </w:rPr>
        <w:footnoteReference w:id="248"/>
      </w:r>
      <w:r w:rsidRPr="00037A48">
        <w:rPr>
          <w:lang w:eastAsia="en-GB"/>
        </w:rPr>
        <w:t xml:space="preserve"> </w:t>
      </w:r>
      <w:proofErr w:type="spellStart"/>
      <w:r w:rsidRPr="00037A48">
        <w:rPr>
          <w:lang w:eastAsia="en-GB"/>
        </w:rPr>
        <w:t>Aletheia</w:t>
      </w:r>
      <w:proofErr w:type="spellEnd"/>
      <w:r w:rsidRPr="00037A48">
        <w:rPr>
          <w:lang w:eastAsia="en-GB"/>
        </w:rPr>
        <w:t xml:space="preserve"> House has thrived and expanded its provision of drug treatment through the use of Medicaid reimbursements for services.</w:t>
      </w:r>
      <w:r w:rsidRPr="00037A48">
        <w:rPr>
          <w:vertAlign w:val="superscript"/>
          <w:lang w:eastAsia="en-GB"/>
        </w:rPr>
        <w:footnoteReference w:id="249"/>
      </w:r>
      <w:r w:rsidRPr="00037A48">
        <w:rPr>
          <w:lang w:eastAsia="en-GB"/>
        </w:rPr>
        <w:t xml:space="preserve"> </w:t>
      </w:r>
      <w:proofErr w:type="spellStart"/>
      <w:r w:rsidRPr="00037A48">
        <w:rPr>
          <w:lang w:eastAsia="en-GB"/>
        </w:rPr>
        <w:t>Retan</w:t>
      </w:r>
      <w:proofErr w:type="spellEnd"/>
      <w:r w:rsidRPr="00037A48">
        <w:rPr>
          <w:lang w:eastAsia="en-GB"/>
        </w:rPr>
        <w:t xml:space="preserve"> further explained: “If there’s a strong residential facility then the judge will say ‘come and get them</w:t>
      </w:r>
      <w:r w:rsidR="001C2B07">
        <w:rPr>
          <w:lang w:eastAsia="en-GB"/>
        </w:rPr>
        <w:t>’.”</w:t>
      </w:r>
      <w:r w:rsidRPr="00037A48">
        <w:rPr>
          <w:vertAlign w:val="superscript"/>
          <w:lang w:eastAsia="en-GB"/>
        </w:rPr>
        <w:footnoteReference w:id="250"/>
      </w:r>
    </w:p>
    <w:p w14:paraId="3F8AEAF2" w14:textId="7456C648" w:rsidR="00037A48" w:rsidRPr="00037A48" w:rsidRDefault="00037A48" w:rsidP="00037A48">
      <w:pPr>
        <w:pStyle w:val="RTBodyText"/>
        <w:rPr>
          <w:lang w:eastAsia="en-GB"/>
        </w:rPr>
      </w:pPr>
      <w:r w:rsidRPr="00037A48">
        <w:rPr>
          <w:lang w:eastAsia="en-GB"/>
        </w:rPr>
        <w:t xml:space="preserve">Amnesty International visited two treatment </w:t>
      </w:r>
      <w:proofErr w:type="spellStart"/>
      <w:r w:rsidRPr="00037A48">
        <w:rPr>
          <w:lang w:eastAsia="en-GB"/>
        </w:rPr>
        <w:t>centers</w:t>
      </w:r>
      <w:proofErr w:type="spellEnd"/>
      <w:r w:rsidRPr="00037A48">
        <w:rPr>
          <w:lang w:eastAsia="en-GB"/>
        </w:rPr>
        <w:t xml:space="preserve"> in Birmingham</w:t>
      </w:r>
      <w:r w:rsidR="001C2B07">
        <w:rPr>
          <w:lang w:eastAsia="en-GB"/>
        </w:rPr>
        <w:t xml:space="preserve"> and a</w:t>
      </w:r>
      <w:r w:rsidRPr="00037A48">
        <w:rPr>
          <w:lang w:eastAsia="en-GB"/>
        </w:rPr>
        <w:t xml:space="preserve"> transitional home in Montgomery</w:t>
      </w:r>
      <w:r w:rsidR="001C2B07">
        <w:rPr>
          <w:lang w:eastAsia="en-GB"/>
        </w:rPr>
        <w:t>. W</w:t>
      </w:r>
      <w:r w:rsidRPr="00037A48">
        <w:rPr>
          <w:lang w:eastAsia="en-GB"/>
        </w:rPr>
        <w:t xml:space="preserve">omen told </w:t>
      </w:r>
      <w:r w:rsidR="001C2B07">
        <w:rPr>
          <w:lang w:eastAsia="en-GB"/>
        </w:rPr>
        <w:t xml:space="preserve">Amnesty </w:t>
      </w:r>
      <w:r w:rsidRPr="00037A48">
        <w:rPr>
          <w:lang w:eastAsia="en-GB"/>
        </w:rPr>
        <w:t xml:space="preserve">that the quality of residential treatment </w:t>
      </w:r>
      <w:proofErr w:type="spellStart"/>
      <w:r w:rsidRPr="00037A48">
        <w:rPr>
          <w:lang w:eastAsia="en-GB"/>
        </w:rPr>
        <w:t>centers</w:t>
      </w:r>
      <w:proofErr w:type="spellEnd"/>
      <w:r w:rsidRPr="00037A48">
        <w:rPr>
          <w:lang w:eastAsia="en-GB"/>
        </w:rPr>
        <w:t xml:space="preserve"> varie</w:t>
      </w:r>
      <w:r w:rsidR="001C2B07">
        <w:rPr>
          <w:lang w:eastAsia="en-GB"/>
        </w:rPr>
        <w:t>d</w:t>
      </w:r>
      <w:r w:rsidRPr="00037A48">
        <w:rPr>
          <w:lang w:eastAsia="en-GB"/>
        </w:rPr>
        <w:t xml:space="preserve"> considerably.</w:t>
      </w:r>
      <w:r w:rsidRPr="00037A48">
        <w:rPr>
          <w:vertAlign w:val="superscript"/>
          <w:lang w:eastAsia="en-GB"/>
        </w:rPr>
        <w:footnoteReference w:id="251"/>
      </w:r>
      <w:r w:rsidRPr="00037A48">
        <w:rPr>
          <w:lang w:eastAsia="en-GB"/>
        </w:rPr>
        <w:t xml:space="preserve"> Some women believed that treatment, whether court</w:t>
      </w:r>
      <w:r w:rsidR="001C2B07">
        <w:rPr>
          <w:lang w:eastAsia="en-GB"/>
        </w:rPr>
        <w:t>-</w:t>
      </w:r>
      <w:r w:rsidRPr="00037A48">
        <w:rPr>
          <w:lang w:eastAsia="en-GB"/>
        </w:rPr>
        <w:t>mandated or not, had saved their lives and they were thankful.</w:t>
      </w:r>
      <w:r w:rsidRPr="00037A48">
        <w:rPr>
          <w:vertAlign w:val="superscript"/>
          <w:lang w:eastAsia="en-GB"/>
        </w:rPr>
        <w:footnoteReference w:id="252"/>
      </w:r>
      <w:r w:rsidRPr="00037A48">
        <w:rPr>
          <w:lang w:eastAsia="en-GB"/>
        </w:rPr>
        <w:t xml:space="preserve"> Others found the environment repressive. For example, one woman in treatment told Amnesty International: </w:t>
      </w:r>
    </w:p>
    <w:p w14:paraId="6864D183" w14:textId="537BA3E8" w:rsidR="00037A48" w:rsidRPr="00037A48" w:rsidRDefault="00037A48" w:rsidP="009D71C0">
      <w:pPr>
        <w:pStyle w:val="RTBodyText"/>
        <w:rPr>
          <w:lang w:eastAsia="en-GB"/>
        </w:rPr>
      </w:pPr>
      <w:r w:rsidRPr="00037A48">
        <w:t xml:space="preserve">“I want to go exercise, to the doctor, to the library. I’m not allowed to leave yet. It could be </w:t>
      </w:r>
      <w:r w:rsidR="00EE4114">
        <w:t>six</w:t>
      </w:r>
      <w:r w:rsidRPr="00037A48">
        <w:t xml:space="preserve"> months.</w:t>
      </w:r>
      <w:r w:rsidR="00EE4114">
        <w:t xml:space="preserve"> </w:t>
      </w:r>
      <w:r w:rsidRPr="00037A48">
        <w:t xml:space="preserve">We get </w:t>
      </w:r>
      <w:r w:rsidR="00EE4114">
        <w:t>ten</w:t>
      </w:r>
      <w:r w:rsidRPr="00037A48">
        <w:t>-minute cigarette breaks. We can only go outside for 30 minutes at lunch. Not many people from the outside come in. I feel cooped up. I sit in the TV room bored. Not sure what I can do for work now that I have this felony.”</w:t>
      </w:r>
      <w:r>
        <w:rPr>
          <w:rStyle w:val="FootnoteReference"/>
        </w:rPr>
        <w:footnoteReference w:id="253"/>
      </w:r>
      <w:r w:rsidRPr="00037A48">
        <w:rPr>
          <w:lang w:eastAsia="en-GB"/>
        </w:rPr>
        <w:t xml:space="preserve">In several of the residential drug treatment facilities that Amnesty international visited, the treatment </w:t>
      </w:r>
      <w:proofErr w:type="spellStart"/>
      <w:r w:rsidRPr="00037A48">
        <w:rPr>
          <w:lang w:eastAsia="en-GB"/>
        </w:rPr>
        <w:t>centers</w:t>
      </w:r>
      <w:proofErr w:type="spellEnd"/>
      <w:r w:rsidRPr="00037A48">
        <w:rPr>
          <w:lang w:eastAsia="en-GB"/>
        </w:rPr>
        <w:t xml:space="preserve"> maintain</w:t>
      </w:r>
      <w:r w:rsidR="00EE4114">
        <w:rPr>
          <w:lang w:eastAsia="en-GB"/>
        </w:rPr>
        <w:t>ed</w:t>
      </w:r>
      <w:r w:rsidRPr="00037A48">
        <w:rPr>
          <w:lang w:eastAsia="en-GB"/>
        </w:rPr>
        <w:t xml:space="preserve"> a close relationship with law enforcement. If a woman fails to </w:t>
      </w:r>
      <w:r w:rsidR="00EE4114">
        <w:rPr>
          <w:lang w:eastAsia="en-GB"/>
        </w:rPr>
        <w:t xml:space="preserve">return </w:t>
      </w:r>
      <w:r w:rsidRPr="00037A48">
        <w:rPr>
          <w:lang w:eastAsia="en-GB"/>
        </w:rPr>
        <w:t xml:space="preserve">for treatment after a visit to her family, the </w:t>
      </w:r>
      <w:proofErr w:type="spellStart"/>
      <w:r w:rsidRPr="00037A48">
        <w:rPr>
          <w:lang w:eastAsia="en-GB"/>
        </w:rPr>
        <w:t>center</w:t>
      </w:r>
      <w:proofErr w:type="spellEnd"/>
      <w:r w:rsidRPr="00037A48">
        <w:rPr>
          <w:lang w:eastAsia="en-GB"/>
        </w:rPr>
        <w:t xml:space="preserve"> contacts the county </w:t>
      </w:r>
      <w:r w:rsidR="00EE4114">
        <w:rPr>
          <w:lang w:eastAsia="en-GB"/>
        </w:rPr>
        <w:t>s</w:t>
      </w:r>
      <w:r w:rsidRPr="00037A48">
        <w:rPr>
          <w:lang w:eastAsia="en-GB"/>
        </w:rPr>
        <w:t>heriff, and the woman is promptly arrested.</w:t>
      </w:r>
      <w:r w:rsidRPr="00037A48">
        <w:rPr>
          <w:vertAlign w:val="superscript"/>
          <w:lang w:eastAsia="en-GB"/>
        </w:rPr>
        <w:footnoteReference w:id="254"/>
      </w:r>
      <w:r w:rsidRPr="00037A48">
        <w:rPr>
          <w:lang w:eastAsia="en-GB"/>
        </w:rPr>
        <w:t xml:space="preserve"> Along these lines, the involvement of law enforcement in the drug treatment process created a sense of fear for some women.</w:t>
      </w:r>
    </w:p>
    <w:p w14:paraId="3CDBD081" w14:textId="1EBCD85E" w:rsidR="00037A48" w:rsidRDefault="00037A48" w:rsidP="00037A48">
      <w:pPr>
        <w:pStyle w:val="RTBodyText"/>
        <w:rPr>
          <w:lang w:eastAsia="en-GB"/>
        </w:rPr>
      </w:pPr>
      <w:r w:rsidRPr="00037A48">
        <w:rPr>
          <w:lang w:eastAsia="en-GB"/>
        </w:rPr>
        <w:t xml:space="preserve">Dora, a woman in a residential drug treatment </w:t>
      </w:r>
      <w:proofErr w:type="spellStart"/>
      <w:r w:rsidRPr="00037A48">
        <w:rPr>
          <w:lang w:eastAsia="en-GB"/>
        </w:rPr>
        <w:t>center</w:t>
      </w:r>
      <w:proofErr w:type="spellEnd"/>
      <w:r w:rsidRPr="00037A48">
        <w:rPr>
          <w:lang w:eastAsia="en-GB"/>
        </w:rPr>
        <w:t xml:space="preserve">, shared her perspective with Amnesty International. </w:t>
      </w:r>
    </w:p>
    <w:p w14:paraId="7EC678E9" w14:textId="57DAC67E" w:rsidR="00037A48" w:rsidRPr="00037A48" w:rsidRDefault="00037A48" w:rsidP="00037A48">
      <w:pPr>
        <w:pStyle w:val="RTSmallQuoteText"/>
        <w:rPr>
          <w:lang w:eastAsia="en-GB"/>
        </w:rPr>
      </w:pPr>
      <w:r w:rsidRPr="00037A48">
        <w:rPr>
          <w:lang w:eastAsia="en-GB"/>
        </w:rPr>
        <w:t>“Clients shouldn’t feel threatened about getting kicked out. The fear is so deep, there has to be a process together to not get back to that place.”</w:t>
      </w:r>
      <w:r w:rsidRPr="00037A48">
        <w:rPr>
          <w:vertAlign w:val="superscript"/>
          <w:lang w:eastAsia="en-GB"/>
        </w:rPr>
        <w:footnoteReference w:id="255"/>
      </w:r>
    </w:p>
    <w:p w14:paraId="27DC4D33" w14:textId="77777777" w:rsidR="00F009DE" w:rsidRDefault="00037A48" w:rsidP="00037A48">
      <w:pPr>
        <w:pStyle w:val="RTBodyText"/>
        <w:rPr>
          <w:lang w:eastAsia="en-GB"/>
        </w:rPr>
      </w:pPr>
      <w:r w:rsidRPr="00037A48">
        <w:rPr>
          <w:lang w:eastAsia="en-GB"/>
        </w:rPr>
        <w:lastRenderedPageBreak/>
        <w:t xml:space="preserve">In individual interviews, some women told Amnesty International that they felt like their lives were on hold and in limbo while they were away from their homes and families, with little contact with their community’s drug court or lawyer. The lack of information about their cases and lack of legal aid exacerbated women’s sense of unease and uncertainty. Some women were unable to contact their court-appointed lawyers, who have large </w:t>
      </w:r>
      <w:r w:rsidR="00EE4114" w:rsidRPr="00037A48">
        <w:rPr>
          <w:lang w:eastAsia="en-GB"/>
        </w:rPr>
        <w:t>caseloads</w:t>
      </w:r>
      <w:r w:rsidRPr="00037A48">
        <w:rPr>
          <w:lang w:eastAsia="en-GB"/>
        </w:rPr>
        <w:t xml:space="preserve"> and few resources</w:t>
      </w:r>
      <w:r w:rsidR="00EE4114">
        <w:rPr>
          <w:lang w:eastAsia="en-GB"/>
        </w:rPr>
        <w:t xml:space="preserve"> </w:t>
      </w:r>
      <w:r w:rsidRPr="00037A48">
        <w:rPr>
          <w:lang w:eastAsia="en-GB"/>
        </w:rPr>
        <w:t xml:space="preserve">and were </w:t>
      </w:r>
      <w:r w:rsidR="00EE4114">
        <w:rPr>
          <w:lang w:eastAsia="en-GB"/>
        </w:rPr>
        <w:t xml:space="preserve">sometimes </w:t>
      </w:r>
      <w:r w:rsidRPr="00037A48">
        <w:rPr>
          <w:lang w:eastAsia="en-GB"/>
        </w:rPr>
        <w:t>unaware of the details of their case.</w:t>
      </w:r>
    </w:p>
    <w:p w14:paraId="684630D4" w14:textId="498A610A" w:rsidR="00037A48" w:rsidRDefault="00037A48" w:rsidP="00037A48">
      <w:pPr>
        <w:pStyle w:val="RTBodyText"/>
        <w:rPr>
          <w:lang w:eastAsia="en-GB"/>
        </w:rPr>
      </w:pPr>
      <w:r w:rsidRPr="00037A48">
        <w:rPr>
          <w:lang w:eastAsia="en-GB"/>
        </w:rPr>
        <w:t xml:space="preserve">A pregnant woman in treatment said: </w:t>
      </w:r>
    </w:p>
    <w:p w14:paraId="639FDDF0" w14:textId="34874C71" w:rsidR="00037A48" w:rsidRPr="00037A48" w:rsidRDefault="00037A48" w:rsidP="00B432A4">
      <w:pPr>
        <w:pStyle w:val="RTSmallQuoteText"/>
        <w:rPr>
          <w:lang w:eastAsia="en-GB"/>
        </w:rPr>
      </w:pPr>
      <w:r w:rsidRPr="00037A48">
        <w:rPr>
          <w:lang w:eastAsia="en-GB"/>
        </w:rPr>
        <w:t>“My lawyer doesn’t know who I am. He knows where he’s going to make his money. Why spend a lot of time on me?”</w:t>
      </w:r>
      <w:r w:rsidRPr="00037A48">
        <w:rPr>
          <w:vertAlign w:val="superscript"/>
          <w:lang w:eastAsia="en-GB"/>
        </w:rPr>
        <w:footnoteReference w:id="256"/>
      </w:r>
      <w:r w:rsidRPr="00037A48">
        <w:rPr>
          <w:lang w:eastAsia="en-GB"/>
        </w:rPr>
        <w:t xml:space="preserve">  </w:t>
      </w:r>
    </w:p>
    <w:p w14:paraId="14D1BE68" w14:textId="719CEECA" w:rsidR="00B432A4" w:rsidRPr="00B432A4" w:rsidRDefault="00B432A4" w:rsidP="00195001">
      <w:pPr>
        <w:pStyle w:val="RTTitlenumbered"/>
      </w:pPr>
      <w:bookmarkStart w:id="45" w:name="_Toc459019954"/>
      <w:bookmarkStart w:id="46" w:name="_Toc472099377"/>
      <w:bookmarkStart w:id="47" w:name="_Toc482741445"/>
      <w:r w:rsidRPr="00B432A4">
        <w:lastRenderedPageBreak/>
        <w:t>Criminalizing pregnancy</w:t>
      </w:r>
      <w:r w:rsidR="00443A83">
        <w:t xml:space="preserve">: a </w:t>
      </w:r>
      <w:r w:rsidRPr="00B432A4">
        <w:t xml:space="preserve">violation </w:t>
      </w:r>
      <w:r w:rsidR="00443A83">
        <w:br/>
      </w:r>
      <w:r w:rsidRPr="00B432A4">
        <w:t xml:space="preserve">of international </w:t>
      </w:r>
      <w:r w:rsidR="00443A83">
        <w:br/>
      </w:r>
      <w:r w:rsidRPr="00B432A4">
        <w:t>human rights</w:t>
      </w:r>
      <w:bookmarkEnd w:id="45"/>
      <w:bookmarkEnd w:id="46"/>
      <w:bookmarkEnd w:id="47"/>
    </w:p>
    <w:p w14:paraId="75559D6C" w14:textId="6CF33B06" w:rsidR="00B432A4" w:rsidRPr="00B432A4" w:rsidRDefault="00B432A4" w:rsidP="00B432A4">
      <w:pPr>
        <w:pStyle w:val="RTBodyText"/>
      </w:pPr>
      <w:r w:rsidRPr="00B432A4">
        <w:t>Laws that criminalize pregnant women’s drug use and other conduct during pregnancy can</w:t>
      </w:r>
      <w:r w:rsidR="00EE4114">
        <w:t xml:space="preserve"> violate</w:t>
      </w:r>
      <w:r w:rsidRPr="00B432A4">
        <w:t xml:space="preserve"> a range of human rights including the rights to the highest attainable standard of health, privacy, freedom from discrimination and equal protection before the law as well as fair trial rights. States have an obligation to respect, protect and fulfil the full range of human rights for all people, including pregnant women. These obligations apply to </w:t>
      </w:r>
      <w:proofErr w:type="gramStart"/>
      <w:r w:rsidRPr="00B432A4">
        <w:t>both states’</w:t>
      </w:r>
      <w:proofErr w:type="gramEnd"/>
      <w:r w:rsidRPr="00B432A4">
        <w:t xml:space="preserve"> law and policy</w:t>
      </w:r>
      <w:r w:rsidR="00EE4114">
        <w:t>-</w:t>
      </w:r>
      <w:r w:rsidRPr="00B432A4">
        <w:t>making, criminal and civil law enforcement and provision of services, including health and social services.</w:t>
      </w:r>
    </w:p>
    <w:p w14:paraId="70853789" w14:textId="65CB17B5" w:rsidR="00B432A4" w:rsidRPr="00B432A4" w:rsidRDefault="00B432A4" w:rsidP="00B432A4">
      <w:pPr>
        <w:pStyle w:val="RTBodyText"/>
      </w:pPr>
      <w:r w:rsidRPr="00B432A4">
        <w:t xml:space="preserve">The US government has signed and ratified two relevant international human rights treaties: the International Covenant on Civil and Political Rights (ICCPR) and the International Convention on the Elimination of All Forms of Racial Discrimination (ICERD). </w:t>
      </w:r>
      <w:r w:rsidR="003D24E3">
        <w:t>This means the US government is</w:t>
      </w:r>
      <w:r w:rsidRPr="00B432A4">
        <w:t xml:space="preserve"> bound to comply with international legal obligations under these treaties. The government has also signed but not ratified the International Covenant on Economic, Social and Cultural Rights (ICESCR), the Convention on the Elimination of All Forms of Discrimination against Women (CEDAW) and the American Convention on Human Rights,</w:t>
      </w:r>
      <w:r w:rsidRPr="00B432A4">
        <w:rPr>
          <w:vertAlign w:val="superscript"/>
        </w:rPr>
        <w:footnoteReference w:id="257"/>
      </w:r>
      <w:r w:rsidRPr="00B432A4">
        <w:t xml:space="preserve"> thus requiring it to refrain from acts that would defeat the object and purpose of these treaties.</w:t>
      </w:r>
      <w:r w:rsidRPr="00B432A4">
        <w:rPr>
          <w:vertAlign w:val="superscript"/>
        </w:rPr>
        <w:footnoteReference w:id="258"/>
      </w:r>
      <w:r w:rsidRPr="00B432A4">
        <w:t xml:space="preserve"> The obligations and protections provided under these international human rights instruments apply to the country as a whole, meaning that individual state law and policy</w:t>
      </w:r>
      <w:r w:rsidR="003D24E3">
        <w:t>-</w:t>
      </w:r>
      <w:r w:rsidRPr="00B432A4">
        <w:t>making may not be used as a justification for the US government’s lack of compliance with its international legal obligations under the treaties.</w:t>
      </w:r>
      <w:r w:rsidRPr="00B432A4">
        <w:rPr>
          <w:vertAlign w:val="superscript"/>
        </w:rPr>
        <w:footnoteReference w:id="259"/>
      </w:r>
      <w:r w:rsidRPr="00B432A4">
        <w:t xml:space="preserve"> The authorities have a duty under international human rights law to protect human rights from abuse by non-state actors, which includes companies such as private </w:t>
      </w:r>
      <w:r w:rsidR="00CF7C14">
        <w:t>healthcare</w:t>
      </w:r>
      <w:r w:rsidRPr="00B432A4">
        <w:t xml:space="preserve"> </w:t>
      </w:r>
      <w:r w:rsidR="003D24E3">
        <w:t>providers</w:t>
      </w:r>
      <w:r w:rsidRPr="00B432A4">
        <w:t>.</w:t>
      </w:r>
      <w:r w:rsidRPr="00B432A4">
        <w:rPr>
          <w:vertAlign w:val="superscript"/>
        </w:rPr>
        <w:footnoteReference w:id="260"/>
      </w:r>
      <w:r w:rsidRPr="00B432A4">
        <w:t xml:space="preserve"> </w:t>
      </w:r>
    </w:p>
    <w:p w14:paraId="41B073FD" w14:textId="22D32319" w:rsidR="00B432A4" w:rsidRPr="00B432A4" w:rsidRDefault="00B432A4" w:rsidP="00B432A4">
      <w:pPr>
        <w:pStyle w:val="RTBodyText"/>
      </w:pPr>
      <w:r w:rsidRPr="00B432A4">
        <w:lastRenderedPageBreak/>
        <w:t>The U</w:t>
      </w:r>
      <w:r w:rsidR="003D24E3">
        <w:t>SA</w:t>
      </w:r>
      <w:r w:rsidRPr="00B432A4">
        <w:t xml:space="preserve"> voted in favour of the Universal Declaration of Human Rights,</w:t>
      </w:r>
      <w:r w:rsidRPr="00B432A4">
        <w:rPr>
          <w:vertAlign w:val="superscript"/>
        </w:rPr>
        <w:footnoteReference w:id="261"/>
      </w:r>
      <w:r w:rsidRPr="00B432A4">
        <w:t xml:space="preserve"> the cornerstone of the international human rights system which was adopted in 1948 and which sets out fundamental principles of international law.</w:t>
      </w:r>
      <w:r w:rsidRPr="00B432A4">
        <w:rPr>
          <w:vertAlign w:val="superscript"/>
        </w:rPr>
        <w:footnoteReference w:id="262"/>
      </w:r>
      <w:r w:rsidRPr="00B432A4">
        <w:t xml:space="preserve"> The U</w:t>
      </w:r>
      <w:r w:rsidR="003D24E3">
        <w:t>S</w:t>
      </w:r>
      <w:r w:rsidRPr="00B432A4">
        <w:t xml:space="preserve"> is a party to the Charter of the Organization of American States</w:t>
      </w:r>
      <w:r w:rsidR="003D24E3">
        <w:t xml:space="preserve"> (OAS)</w:t>
      </w:r>
      <w:r w:rsidRPr="00B432A4">
        <w:t>.</w:t>
      </w:r>
      <w:r w:rsidRPr="00B432A4">
        <w:rPr>
          <w:vertAlign w:val="superscript"/>
        </w:rPr>
        <w:footnoteReference w:id="263"/>
      </w:r>
      <w:r w:rsidRPr="00B432A4">
        <w:t xml:space="preserve"> The </w:t>
      </w:r>
      <w:r w:rsidR="003D24E3">
        <w:t>s</w:t>
      </w:r>
      <w:r w:rsidRPr="00B432A4">
        <w:t xml:space="preserve">tates that were members of the OAS in 1948 adopted the American Declaration of the Rights and Duties of Man. </w:t>
      </w:r>
      <w:r w:rsidRPr="00B432A4">
        <w:rPr>
          <w:lang w:val="en-US"/>
        </w:rPr>
        <w:t>The Inter-American Court of Human Rights has stated that the American Declaration authoritatively interprets the human rights provisions of the OAS Charter.</w:t>
      </w:r>
      <w:r w:rsidRPr="00B432A4">
        <w:rPr>
          <w:vertAlign w:val="superscript"/>
          <w:lang w:val="en-US"/>
        </w:rPr>
        <w:footnoteReference w:id="264"/>
      </w:r>
    </w:p>
    <w:p w14:paraId="295E7612" w14:textId="18F63181" w:rsidR="00B432A4" w:rsidRDefault="00B432A4" w:rsidP="00B432A4">
      <w:pPr>
        <w:pStyle w:val="RTBodyText"/>
      </w:pPr>
      <w:r w:rsidRPr="00B432A4">
        <w:t>This section analyses the extent to which each of the above-referenced human rights is affected by laws, policies and practices that criminalize pregnancy in the USA with a particular focus on Alabama’s “chemical endangerment” law and Tennessee’s “</w:t>
      </w:r>
      <w:proofErr w:type="spellStart"/>
      <w:r w:rsidRPr="00B432A4">
        <w:t>fetal</w:t>
      </w:r>
      <w:proofErr w:type="spellEnd"/>
      <w:r w:rsidRPr="00B432A4">
        <w:t xml:space="preserve"> assault” law. The analysis draws on recommendations by international human rights bodies and experts. These bodies and experts are increasingly focusing on the human rights impact of criminalizing pregnancy and specifically punishing women</w:t>
      </w:r>
      <w:r w:rsidR="003D24E3">
        <w:t xml:space="preserve"> for</w:t>
      </w:r>
      <w:r w:rsidRPr="00B432A4">
        <w:t xml:space="preserve"> actions </w:t>
      </w:r>
      <w:r w:rsidR="003D24E3">
        <w:t xml:space="preserve">taken </w:t>
      </w:r>
      <w:r w:rsidRPr="00B432A4">
        <w:t>during pregnancy, in one case recommending that states move towards decriminalization of conduct during pregnancy and prioritizing the health and human rights of women.</w:t>
      </w:r>
      <w:r w:rsidRPr="00B432A4">
        <w:rPr>
          <w:vertAlign w:val="superscript"/>
        </w:rPr>
        <w:footnoteReference w:id="265"/>
      </w:r>
    </w:p>
    <w:tbl>
      <w:tblPr>
        <w:tblStyle w:val="RTTintedPullout"/>
        <w:tblW w:w="8278" w:type="dxa"/>
        <w:tblLook w:val="04A0" w:firstRow="1" w:lastRow="0" w:firstColumn="1" w:lastColumn="0" w:noHBand="0" w:noVBand="1"/>
      </w:tblPr>
      <w:tblGrid>
        <w:gridCol w:w="8278"/>
      </w:tblGrid>
      <w:tr w:rsidR="00A704FA" w:rsidRPr="00C06C22" w14:paraId="07F00B7E" w14:textId="77777777" w:rsidTr="00677EC2">
        <w:trPr>
          <w:trHeight w:val="614"/>
        </w:trPr>
        <w:tc>
          <w:tcPr>
            <w:tcW w:w="8272" w:type="dxa"/>
          </w:tcPr>
          <w:p w14:paraId="76631C34" w14:textId="13AD3F17" w:rsidR="00A704FA" w:rsidRPr="00C06C22" w:rsidRDefault="00A704FA" w:rsidP="00677EC2">
            <w:pPr>
              <w:pStyle w:val="RTSmallheadingCAPS"/>
            </w:pPr>
            <w:r>
              <w:lastRenderedPageBreak/>
              <w:t>human rights do not apply prenatally</w:t>
            </w:r>
          </w:p>
          <w:p w14:paraId="069541AC" w14:textId="12D83BC9" w:rsidR="00A704FA" w:rsidRPr="00A704FA" w:rsidRDefault="00A704FA" w:rsidP="00A704FA">
            <w:pPr>
              <w:pStyle w:val="RTBodyText"/>
            </w:pPr>
            <w:r w:rsidRPr="00A704FA">
              <w:t>“</w:t>
            </w:r>
            <w:proofErr w:type="spellStart"/>
            <w:r w:rsidRPr="00A704FA">
              <w:t>Fetal</w:t>
            </w:r>
            <w:proofErr w:type="spellEnd"/>
            <w:r w:rsidRPr="00A704FA">
              <w:t xml:space="preserve"> assault” laws and other punitive regulation of pregnant women have been passed in the context of ongoing debates around “prenatal personhood” measures – efforts to establish fertilized eggs, embryos and/or </w:t>
            </w:r>
            <w:proofErr w:type="spellStart"/>
            <w:r w:rsidRPr="00A704FA">
              <w:t>fetuses</w:t>
            </w:r>
            <w:proofErr w:type="spellEnd"/>
            <w:r w:rsidRPr="00A704FA">
              <w:t xml:space="preserve"> as “legal persons” (separate from pregnant women) with equal rights to others.</w:t>
            </w:r>
          </w:p>
          <w:p w14:paraId="27050F2B" w14:textId="59821159" w:rsidR="00A704FA" w:rsidRPr="00A704FA" w:rsidRDefault="00A704FA" w:rsidP="00A704FA">
            <w:pPr>
              <w:pStyle w:val="RTBodyText"/>
            </w:pPr>
            <w:r w:rsidRPr="00A704FA">
              <w:t xml:space="preserve">However, international and regional human rights treaty provisions protecting the right to life, and the official bodies that interpret articles protecting life and other human rights guarantees, do not extend </w:t>
            </w:r>
            <w:r w:rsidR="003D24E3">
              <w:br/>
            </w:r>
            <w:r w:rsidRPr="00A704FA">
              <w:t>such protections prenatally.</w:t>
            </w:r>
            <w:r w:rsidRPr="00A704FA">
              <w:rPr>
                <w:vertAlign w:val="superscript"/>
              </w:rPr>
              <w:footnoteReference w:id="266"/>
            </w:r>
            <w:r w:rsidRPr="00A704FA">
              <w:t xml:space="preserve"> No international human rights body has ever recognized a </w:t>
            </w:r>
            <w:proofErr w:type="spellStart"/>
            <w:r w:rsidRPr="00A704FA">
              <w:t>fetus</w:t>
            </w:r>
            <w:proofErr w:type="spellEnd"/>
            <w:r w:rsidRPr="00A704FA">
              <w:t xml:space="preserve"> as a subject of protection under the right to life under Article 6 (1) of the</w:t>
            </w:r>
            <w:r w:rsidR="003D24E3" w:rsidRPr="00666665">
              <w:t> International Covenant on Civil and Political Rights</w:t>
            </w:r>
            <w:r w:rsidRPr="00A704FA">
              <w:t xml:space="preserve"> </w:t>
            </w:r>
            <w:r w:rsidR="003D24E3">
              <w:t>(</w:t>
            </w:r>
            <w:r w:rsidRPr="00A704FA">
              <w:t>ICCPR</w:t>
            </w:r>
            <w:r w:rsidR="003D24E3">
              <w:t>)</w:t>
            </w:r>
            <w:r w:rsidRPr="00A704FA">
              <w:t xml:space="preserve"> or other provisions of international human rights treaties, including the Convention on the Rights of the Child.</w:t>
            </w:r>
            <w:r w:rsidRPr="003D24E3">
              <w:rPr>
                <w:vertAlign w:val="superscript"/>
              </w:rPr>
              <w:footnoteReference w:id="267"/>
            </w:r>
            <w:r w:rsidRPr="00A704FA">
              <w:t xml:space="preserve"> The negotiating history of the ICCPR further negates the proposition that the protection of the right to life, in Article 6(1), applies before birth.</w:t>
            </w:r>
            <w:r w:rsidRPr="003D24E3">
              <w:rPr>
                <w:vertAlign w:val="superscript"/>
              </w:rPr>
              <w:footnoteReference w:id="268"/>
            </w:r>
            <w:r w:rsidRPr="00666665">
              <w:rPr>
                <w:vertAlign w:val="superscript"/>
              </w:rPr>
              <w:t xml:space="preserve"> </w:t>
            </w:r>
          </w:p>
          <w:p w14:paraId="31A54966" w14:textId="4D1E6C9C" w:rsidR="00A704FA" w:rsidRDefault="00A704FA" w:rsidP="00677EC2">
            <w:pPr>
              <w:pStyle w:val="RTBodyText"/>
            </w:pPr>
            <w:r w:rsidRPr="00A704FA">
              <w:t xml:space="preserve">The UN Human Rights Committee has criticized a State Party’s Constitution which grants the right to life </w:t>
            </w:r>
            <w:r w:rsidR="003D24E3">
              <w:br/>
            </w:r>
            <w:r w:rsidRPr="00A704FA">
              <w:t>of the “unborn” on an equal footing with a pregnant woman’s right to life.</w:t>
            </w:r>
            <w:r w:rsidRPr="00A704FA">
              <w:rPr>
                <w:vertAlign w:val="superscript"/>
              </w:rPr>
              <w:footnoteReference w:id="269"/>
            </w:r>
            <w:r w:rsidRPr="00A704FA">
              <w:t xml:space="preserve"> Human rights bodies have refrained from stating that right to life protections apply prenatally as these would inevitably lead to conflicts between a pregnant woman or girl and her </w:t>
            </w:r>
            <w:proofErr w:type="spellStart"/>
            <w:r w:rsidRPr="00A704FA">
              <w:t>fetus</w:t>
            </w:r>
            <w:proofErr w:type="spellEnd"/>
            <w:r w:rsidRPr="00A704FA">
              <w:t xml:space="preserve">. A position such as this would not only undermine the rights of the woman in the context of access to abortion, but also in other maternal health and general </w:t>
            </w:r>
            <w:r w:rsidR="00CF7C14">
              <w:t>healthcare</w:t>
            </w:r>
            <w:r w:rsidRPr="00A704FA">
              <w:t xml:space="preserve"> services required.</w:t>
            </w:r>
            <w:r w:rsidRPr="00A704FA">
              <w:rPr>
                <w:vertAlign w:val="superscript"/>
              </w:rPr>
              <w:footnoteReference w:id="270"/>
            </w:r>
            <w:r w:rsidRPr="00A704FA">
              <w:t xml:space="preserve"> For example, </w:t>
            </w:r>
            <w:r w:rsidR="002954DB">
              <w:t>this reasoning</w:t>
            </w:r>
            <w:r w:rsidRPr="00A704FA">
              <w:t xml:space="preserve"> has been used as a justification to override a woman’s refusal to consent to a caesarean section.</w:t>
            </w:r>
            <w:r w:rsidRPr="00A704FA">
              <w:rPr>
                <w:vertAlign w:val="superscript"/>
              </w:rPr>
              <w:footnoteReference w:id="271"/>
            </w:r>
          </w:p>
          <w:p w14:paraId="49207923" w14:textId="7C9D4682" w:rsidR="00A704FA" w:rsidRPr="00A704FA" w:rsidRDefault="00A704FA" w:rsidP="00A704FA">
            <w:pPr>
              <w:pStyle w:val="RTBodyText"/>
            </w:pPr>
            <w:r w:rsidRPr="00A704FA">
              <w:rPr>
                <w:lang w:val="en-US"/>
              </w:rPr>
              <w:t xml:space="preserve">UN human rights bodies have recognized that prenatal development can be protected by promoting the health and well-being of pregnant women, through adequate maternal </w:t>
            </w:r>
            <w:r w:rsidR="00CF7C14">
              <w:rPr>
                <w:lang w:val="en-US"/>
              </w:rPr>
              <w:t>healthcare</w:t>
            </w:r>
            <w:r w:rsidRPr="00A704FA">
              <w:rPr>
                <w:lang w:val="en-US"/>
              </w:rPr>
              <w:t>, information and goods and services.</w:t>
            </w:r>
            <w:r w:rsidRPr="00A704FA">
              <w:rPr>
                <w:vertAlign w:val="superscript"/>
                <w:lang w:val="en-US"/>
              </w:rPr>
              <w:footnoteReference w:id="272"/>
            </w:r>
            <w:r w:rsidRPr="00A704FA">
              <w:rPr>
                <w:lang w:val="en-US"/>
              </w:rPr>
              <w:t xml:space="preserve"> Expanding access to </w:t>
            </w:r>
            <w:r w:rsidR="00CF7C14">
              <w:rPr>
                <w:lang w:val="en-US"/>
              </w:rPr>
              <w:t>healthcare</w:t>
            </w:r>
            <w:r w:rsidRPr="00A704FA">
              <w:rPr>
                <w:lang w:val="en-US"/>
              </w:rPr>
              <w:t xml:space="preserve"> and particularly drug treatment services to pregnant women would promote progress towards this goal.</w:t>
            </w:r>
          </w:p>
          <w:p w14:paraId="7DD40E26" w14:textId="77777777" w:rsidR="00A704FA" w:rsidRPr="00A704FA" w:rsidRDefault="00A704FA" w:rsidP="00A704FA">
            <w:pPr>
              <w:pStyle w:val="RTBodyText"/>
              <w:rPr>
                <w:lang w:val="en-US"/>
              </w:rPr>
            </w:pPr>
            <w:r w:rsidRPr="00A704FA">
              <w:t xml:space="preserve">According to international human rights standards, states have an obligation to take measures to ensure that the life and health of the woman or girl take priority over the protection of her </w:t>
            </w:r>
            <w:proofErr w:type="spellStart"/>
            <w:r w:rsidRPr="00A704FA">
              <w:t>fetus</w:t>
            </w:r>
            <w:proofErr w:type="spellEnd"/>
            <w:r w:rsidRPr="00A704FA">
              <w:t>.</w:t>
            </w:r>
            <w:r w:rsidRPr="00A704FA">
              <w:rPr>
                <w:vertAlign w:val="superscript"/>
                <w:lang w:val="en-US"/>
              </w:rPr>
              <w:footnoteReference w:id="273"/>
            </w:r>
          </w:p>
          <w:p w14:paraId="533DE110" w14:textId="0C7A4E29" w:rsidR="00A704FA" w:rsidRPr="00C06C22" w:rsidRDefault="00A704FA" w:rsidP="00677EC2">
            <w:pPr>
              <w:pStyle w:val="RTBodyText"/>
            </w:pPr>
          </w:p>
        </w:tc>
      </w:tr>
    </w:tbl>
    <w:p w14:paraId="1D793E13" w14:textId="77777777" w:rsidR="00A704FA" w:rsidRPr="00B432A4" w:rsidRDefault="00A704FA" w:rsidP="00B432A4">
      <w:pPr>
        <w:pStyle w:val="RTBodyText"/>
      </w:pPr>
    </w:p>
    <w:p w14:paraId="416D8B6A" w14:textId="4322C3A8" w:rsidR="00B432A4" w:rsidRPr="00B432A4" w:rsidRDefault="00A704FA" w:rsidP="002954DB">
      <w:pPr>
        <w:pStyle w:val="RTNumberedHeading"/>
      </w:pPr>
      <w:bookmarkStart w:id="48" w:name="_Toc482741446"/>
      <w:r>
        <w:lastRenderedPageBreak/>
        <w:t>The right to the highest attainable standard of health</w:t>
      </w:r>
      <w:bookmarkEnd w:id="48"/>
    </w:p>
    <w:p w14:paraId="42D8A0B4" w14:textId="77777777" w:rsidR="00666665" w:rsidRDefault="00A704FA" w:rsidP="00A704FA">
      <w:pPr>
        <w:pStyle w:val="RTBodyText"/>
      </w:pPr>
      <w:r w:rsidRPr="00A704FA">
        <w:t>When pregnant women are threatened with criminal punishment when seeking healthcare services, when they are tested for drugs without their informed consent, when they lack access to drug treatment and when their healthcare providers share information with law enforcement to punish them, as opposed to providing essential care, then the</w:t>
      </w:r>
      <w:r w:rsidR="003D24E3">
        <w:t xml:space="preserve">se actions constitute </w:t>
      </w:r>
      <w:r w:rsidRPr="00A704FA">
        <w:t>potential violations of their right to the highest attainable standard of health.</w:t>
      </w:r>
      <w:r w:rsidR="00666665">
        <w:t xml:space="preserve"> </w:t>
      </w:r>
    </w:p>
    <w:p w14:paraId="321D582D" w14:textId="2A7B34F1" w:rsidR="00A704FA" w:rsidRPr="00A704FA" w:rsidRDefault="00A704FA" w:rsidP="00A704FA">
      <w:pPr>
        <w:pStyle w:val="RTBodyText"/>
        <w:rPr>
          <w:lang w:val="en-US"/>
        </w:rPr>
      </w:pPr>
      <w:r w:rsidRPr="00A704FA">
        <w:t>As a signatory to two international human rights treaties that specifically protect women’s right to health</w:t>
      </w:r>
      <w:r w:rsidR="00F45B47">
        <w:t xml:space="preserve"> – </w:t>
      </w:r>
      <w:r w:rsidRPr="00A704FA">
        <w:t>the Convention on the Elimination of All Forms of Discrimination against Women (CEDAW) and the International Covenant on Economic, Social and Cultural Rights (ICESCR)</w:t>
      </w:r>
      <w:r w:rsidR="00F45B47">
        <w:t xml:space="preserve"> – </w:t>
      </w:r>
      <w:r w:rsidRPr="00A704FA">
        <w:t>the US government (including at both national and local level) is obliged to refrain from any actions that would defeat the object and purpose of these treaties. This includes compliance with the core obligations of the treaty, such as non-retrogression and discrimination. In this context the official monitoring body of the ICESCR, the UN Committee on Economic, Social and Cultural Rights (”CESCR Committee”) has made clear that, a</w:t>
      </w:r>
      <w:proofErr w:type="spellStart"/>
      <w:r w:rsidRPr="00A704FA">
        <w:rPr>
          <w:lang w:val="en-US"/>
        </w:rPr>
        <w:t>s</w:t>
      </w:r>
      <w:proofErr w:type="spellEnd"/>
      <w:r w:rsidRPr="00A704FA">
        <w:rPr>
          <w:lang w:val="en-US"/>
        </w:rPr>
        <w:t xml:space="preserve"> with all other rights in the Covenant, there is a strong presumption that retrogressive measures taken in relation to the right to health are not permissible. </w:t>
      </w:r>
      <w:r w:rsidR="00666665">
        <w:rPr>
          <w:lang w:val="en-US"/>
        </w:rPr>
        <w:t>“</w:t>
      </w:r>
      <w:r w:rsidRPr="00A704FA">
        <w:rPr>
          <w:lang w:val="en-US"/>
        </w:rPr>
        <w:t xml:space="preserve">If any deliberately retrogressive measures are taken, the </w:t>
      </w:r>
      <w:r w:rsidR="00666665">
        <w:rPr>
          <w:lang w:val="en-US"/>
        </w:rPr>
        <w:t>S</w:t>
      </w:r>
      <w:r w:rsidRPr="00A704FA">
        <w:rPr>
          <w:lang w:val="en-US"/>
        </w:rPr>
        <w:t xml:space="preserve">tate party has the burden of proving that they have been introduced after the most careful consideration of all alternatives and that they are duly justified by reference to the totality of the rights provided for in the Covenant in the context of the full use of the </w:t>
      </w:r>
      <w:r w:rsidR="00F45B47">
        <w:rPr>
          <w:lang w:val="en-US"/>
        </w:rPr>
        <w:t>s</w:t>
      </w:r>
      <w:r w:rsidRPr="00A704FA">
        <w:rPr>
          <w:lang w:val="en-US"/>
        </w:rPr>
        <w:t>tate party’s maximum available resources.</w:t>
      </w:r>
      <w:r w:rsidR="00666665">
        <w:rPr>
          <w:lang w:val="en-US"/>
        </w:rPr>
        <w:t>”</w:t>
      </w:r>
      <w:r w:rsidRPr="00A704FA">
        <w:rPr>
          <w:vertAlign w:val="superscript"/>
          <w:lang w:val="en-US"/>
        </w:rPr>
        <w:footnoteReference w:id="274"/>
      </w:r>
    </w:p>
    <w:p w14:paraId="63660D5E" w14:textId="68482273" w:rsidR="00A704FA" w:rsidRPr="00A704FA" w:rsidRDefault="00A704FA" w:rsidP="00A704FA">
      <w:pPr>
        <w:pStyle w:val="RTBodyText"/>
      </w:pPr>
      <w:r w:rsidRPr="00A704FA">
        <w:t xml:space="preserve">The CESCR Committee has confirmed that States must ensure that all </w:t>
      </w:r>
      <w:r w:rsidR="00CF7C14">
        <w:t>healthcare</w:t>
      </w:r>
      <w:r w:rsidRPr="00A704FA">
        <w:t xml:space="preserve"> facilities, goods and services are available, accessible, acceptable and of good quality.</w:t>
      </w:r>
      <w:r w:rsidRPr="00A704FA">
        <w:rPr>
          <w:vertAlign w:val="superscript"/>
        </w:rPr>
        <w:footnoteReference w:id="275"/>
      </w:r>
      <w:r w:rsidRPr="00A704FA">
        <w:t xml:space="preserve"> Ensuring reproductive healthcare is one of the core obligations set out under the right to health and </w:t>
      </w:r>
      <w:r w:rsidR="00F45B47">
        <w:t>s</w:t>
      </w:r>
      <w:r w:rsidRPr="00A704FA">
        <w:t>tates must ensure access to health facilities, good and services on a non-discriminatory basis.</w:t>
      </w:r>
      <w:r w:rsidRPr="00A704FA">
        <w:rPr>
          <w:vertAlign w:val="superscript"/>
        </w:rPr>
        <w:footnoteReference w:id="276"/>
      </w:r>
      <w:r w:rsidRPr="00A704FA">
        <w:t xml:space="preserve"> Moreover, the Committee has affirmed that the right to health extends to the underlying determinants of health – socio-economic factors that have bearing on individuals’ health status.</w:t>
      </w:r>
      <w:r w:rsidRPr="00A704FA">
        <w:rPr>
          <w:vertAlign w:val="superscript"/>
        </w:rPr>
        <w:footnoteReference w:id="277"/>
      </w:r>
      <w:r w:rsidRPr="00A704FA">
        <w:t xml:space="preserve"> The Committee has also highlighted the requirements of accessibility, acceptability</w:t>
      </w:r>
      <w:r w:rsidR="00F45B47">
        <w:t xml:space="preserve"> and</w:t>
      </w:r>
      <w:r w:rsidRPr="00A704FA">
        <w:t xml:space="preserve"> quality</w:t>
      </w:r>
      <w:r w:rsidR="00F45B47">
        <w:t xml:space="preserve"> as well as</w:t>
      </w:r>
      <w:r w:rsidRPr="00A704FA">
        <w:t xml:space="preserve"> gender responsiveness for reproductive </w:t>
      </w:r>
      <w:r w:rsidR="00CF7C14">
        <w:t>healthcare</w:t>
      </w:r>
      <w:r w:rsidRPr="00A704FA">
        <w:t xml:space="preserve"> services.</w:t>
      </w:r>
      <w:r w:rsidRPr="00A704FA">
        <w:rPr>
          <w:vertAlign w:val="superscript"/>
        </w:rPr>
        <w:footnoteReference w:id="278"/>
      </w:r>
    </w:p>
    <w:p w14:paraId="5D1BA9AA" w14:textId="77777777" w:rsidR="00A704FA" w:rsidRPr="00A704FA" w:rsidRDefault="00A704FA" w:rsidP="00A704FA">
      <w:pPr>
        <w:pStyle w:val="RTBodyText"/>
      </w:pPr>
      <w:r w:rsidRPr="00A704FA">
        <w:t xml:space="preserve">The US has also signed and ratified the International Convention on the Elimination of All Forms of Racial Discrimination (ICERD) and therefore is legally obliged </w:t>
      </w:r>
      <w:r w:rsidRPr="00A704FA">
        <w:rPr>
          <w:lang w:val="en-US"/>
        </w:rPr>
        <w:t xml:space="preserve">to prohibit and to eliminate racial discrimination in all its forms and to guarantee the right of everyone, without distinction as to race, </w:t>
      </w:r>
      <w:proofErr w:type="spellStart"/>
      <w:r w:rsidRPr="00A704FA">
        <w:rPr>
          <w:lang w:val="en-US"/>
        </w:rPr>
        <w:t>colour</w:t>
      </w:r>
      <w:proofErr w:type="spellEnd"/>
      <w:r w:rsidRPr="00A704FA">
        <w:rPr>
          <w:lang w:val="en-US"/>
        </w:rPr>
        <w:t>, or national or ethnic origin, to equality before the law, in the enjoyment of all rights including the right to public health and medical care.</w:t>
      </w:r>
      <w:r w:rsidRPr="00A704FA">
        <w:rPr>
          <w:vertAlign w:val="superscript"/>
          <w:lang w:val="en-US"/>
        </w:rPr>
        <w:footnoteReference w:id="279"/>
      </w:r>
    </w:p>
    <w:p w14:paraId="0948B96D" w14:textId="325E77EF" w:rsidR="00A704FA" w:rsidRPr="00A704FA" w:rsidRDefault="00A704FA" w:rsidP="00A704FA">
      <w:pPr>
        <w:pStyle w:val="RTBodyText"/>
      </w:pPr>
      <w:r w:rsidRPr="00A704FA">
        <w:t xml:space="preserve">Racial and gender discrimination underlie sharp disparities in maternal mortality, access to contraception, prenatal care and adequate </w:t>
      </w:r>
      <w:proofErr w:type="spellStart"/>
      <w:r w:rsidRPr="00A704FA">
        <w:t>labor</w:t>
      </w:r>
      <w:proofErr w:type="spellEnd"/>
      <w:r w:rsidRPr="00A704FA">
        <w:t xml:space="preserve"> and delivery services.</w:t>
      </w:r>
      <w:r w:rsidRPr="00A704FA">
        <w:rPr>
          <w:vertAlign w:val="superscript"/>
        </w:rPr>
        <w:footnoteReference w:id="280"/>
      </w:r>
      <w:r w:rsidRPr="00A704FA">
        <w:t xml:space="preserve"> As such, the</w:t>
      </w:r>
      <w:r w:rsidR="00B012CB">
        <w:t xml:space="preserve"> US</w:t>
      </w:r>
      <w:r w:rsidRPr="00A704FA">
        <w:t xml:space="preserve"> government is obliged to promptly address these persistent health disparities. The UN Committee on the Elimination of Racial Discrimination (CERD Committee) has called upon the US government to improve access to </w:t>
      </w:r>
      <w:r w:rsidR="00CF7C14">
        <w:t>healthcare</w:t>
      </w:r>
      <w:r w:rsidRPr="00A704FA">
        <w:t xml:space="preserve"> by “eliminating the obstacles that currently prevent or limit access to adequate health care, such as lack of health insurance, unequal distribution of health-care resources”</w:t>
      </w:r>
      <w:r w:rsidR="00B012CB">
        <w:t>.</w:t>
      </w:r>
      <w:r w:rsidRPr="00A704FA">
        <w:rPr>
          <w:vertAlign w:val="superscript"/>
        </w:rPr>
        <w:footnoteReference w:id="281"/>
      </w:r>
    </w:p>
    <w:p w14:paraId="45FE35D5" w14:textId="5A5D3635" w:rsidR="00A704FA" w:rsidRPr="00A704FA" w:rsidRDefault="00A704FA" w:rsidP="00A704FA">
      <w:pPr>
        <w:pStyle w:val="RTBodyText"/>
        <w:rPr>
          <w:bCs/>
        </w:rPr>
      </w:pPr>
      <w:r w:rsidRPr="00A704FA">
        <w:rPr>
          <w:bCs/>
        </w:rPr>
        <w:t>The US has also signed and ratified the ICCPR, which protects the right to life. The Human Rights Committee has recognized that this right needs to be interpreted in a wide sense.</w:t>
      </w:r>
      <w:r w:rsidRPr="00A704FA">
        <w:rPr>
          <w:bCs/>
          <w:vertAlign w:val="superscript"/>
        </w:rPr>
        <w:t xml:space="preserve"> </w:t>
      </w:r>
      <w:r w:rsidRPr="00A704FA">
        <w:rPr>
          <w:bCs/>
          <w:vertAlign w:val="superscript"/>
        </w:rPr>
        <w:footnoteReference w:id="282"/>
      </w:r>
      <w:r w:rsidRPr="00A704FA">
        <w:rPr>
          <w:bCs/>
        </w:rPr>
        <w:t xml:space="preserve"> For example, the Committee, recogni</w:t>
      </w:r>
      <w:r w:rsidR="00F32C81">
        <w:rPr>
          <w:bCs/>
        </w:rPr>
        <w:t>z</w:t>
      </w:r>
      <w:r w:rsidRPr="00A704FA">
        <w:rPr>
          <w:bCs/>
        </w:rPr>
        <w:t xml:space="preserve">ing the strong link between the rights to life and health based on the principles of indivisibility and </w:t>
      </w:r>
      <w:r w:rsidRPr="00A704FA">
        <w:rPr>
          <w:bCs/>
        </w:rPr>
        <w:lastRenderedPageBreak/>
        <w:t xml:space="preserve">interdependence of rights, considers it desirable for </w:t>
      </w:r>
      <w:r w:rsidR="00B012CB">
        <w:rPr>
          <w:bCs/>
        </w:rPr>
        <w:t>s</w:t>
      </w:r>
      <w:r w:rsidRPr="00A704FA">
        <w:rPr>
          <w:bCs/>
        </w:rPr>
        <w:t>tates to take positive measures to reduce infant mortality, increase life expectancy and eliminate malnutrition and epidemics.</w:t>
      </w:r>
      <w:r w:rsidRPr="00A704FA">
        <w:rPr>
          <w:bCs/>
          <w:vertAlign w:val="superscript"/>
        </w:rPr>
        <w:footnoteReference w:id="283"/>
      </w:r>
      <w:r w:rsidRPr="00A704FA">
        <w:rPr>
          <w:bCs/>
        </w:rPr>
        <w:t xml:space="preserve"> </w:t>
      </w:r>
    </w:p>
    <w:p w14:paraId="7A0C9CC7" w14:textId="5E7B8F22" w:rsidR="00B012CB" w:rsidRDefault="00A704FA" w:rsidP="00A704FA">
      <w:pPr>
        <w:pStyle w:val="RTBodyText"/>
      </w:pPr>
      <w:r w:rsidRPr="00A704FA">
        <w:t xml:space="preserve">With respect to the core obligation not to discriminate, the UN CEDAW committee has affirmed that </w:t>
      </w:r>
      <w:r w:rsidR="00B012CB">
        <w:t>s</w:t>
      </w:r>
      <w:r w:rsidRPr="00A704FA">
        <w:t xml:space="preserve">tates should take all appropriate measures to eliminate discrimination against women in the field of </w:t>
      </w:r>
      <w:r w:rsidR="00CF7C14">
        <w:t>healthcare</w:t>
      </w:r>
      <w:r w:rsidRPr="00A704FA">
        <w:t>, and to ensure women</w:t>
      </w:r>
      <w:r w:rsidR="00B012CB">
        <w:t>-</w:t>
      </w:r>
      <w:r w:rsidRPr="00A704FA">
        <w:t>appropriate services in connection with pregnancy and the postnatal period.</w:t>
      </w:r>
      <w:r w:rsidRPr="00A704FA">
        <w:rPr>
          <w:vertAlign w:val="superscript"/>
        </w:rPr>
        <w:footnoteReference w:id="284"/>
      </w:r>
      <w:r w:rsidRPr="00A704FA">
        <w:t xml:space="preserve"> The Committee has also noted that special attention should be given to the health needs of women belonging to marginalized groups, taking into account the manner in which social factors can determine health status.</w:t>
      </w:r>
      <w:r w:rsidRPr="00A704FA">
        <w:rPr>
          <w:vertAlign w:val="superscript"/>
        </w:rPr>
        <w:footnoteReference w:id="285"/>
      </w:r>
      <w:r w:rsidRPr="00A704FA">
        <w:t xml:space="preserve"> </w:t>
      </w:r>
    </w:p>
    <w:p w14:paraId="4463FECD" w14:textId="3E3A333D" w:rsidR="00A704FA" w:rsidRPr="00A704FA" w:rsidRDefault="00A704FA" w:rsidP="00A704FA">
      <w:pPr>
        <w:pStyle w:val="RTBodyText"/>
      </w:pPr>
      <w:r w:rsidRPr="00A704FA">
        <w:t>The UN Working Group on discrimination against women stressed</w:t>
      </w:r>
      <w:r w:rsidR="00B012CB">
        <w:t>:</w:t>
      </w:r>
      <w:r w:rsidR="00F32C81">
        <w:t xml:space="preserve"> </w:t>
      </w:r>
      <w:r w:rsidRPr="00A704FA">
        <w:t>“The obligation to respect, protect and fulfil women’s right to equal access to healthcare services and to eliminate all forms of discrimination against women with regard to their health and safety is violated by neglecting women’s health needs, failing to make gender-sensitive health interventions, depriving women of autonomous decision-making capacity and criminalizing or denying them access to health services that only women require.</w:t>
      </w:r>
      <w:r w:rsidR="00B012CB">
        <w:t>”</w:t>
      </w:r>
      <w:r w:rsidR="00F009DE">
        <w:rPr>
          <w:rStyle w:val="FootnoteReference"/>
        </w:rPr>
        <w:footnoteReference w:id="286"/>
      </w:r>
      <w:r w:rsidR="00B012CB">
        <w:t xml:space="preserve"> </w:t>
      </w:r>
      <w:r w:rsidRPr="00A704FA">
        <w:t xml:space="preserve"> </w:t>
      </w:r>
    </w:p>
    <w:p w14:paraId="4B32D0D2" w14:textId="0BF9682F" w:rsidR="00A704FA" w:rsidRDefault="00A704FA" w:rsidP="00A704FA">
      <w:pPr>
        <w:pStyle w:val="RTBodyText"/>
      </w:pPr>
      <w:r w:rsidRPr="00A704FA">
        <w:t>The American Declaration of the Rights and Duties of Man, which explicitly recogni</w:t>
      </w:r>
      <w:r w:rsidR="00B012CB">
        <w:t>z</w:t>
      </w:r>
      <w:r w:rsidRPr="00A704FA">
        <w:t xml:space="preserve">es the right to health and the right to protection of </w:t>
      </w:r>
      <w:proofErr w:type="gramStart"/>
      <w:r w:rsidRPr="00A704FA">
        <w:t>mothers</w:t>
      </w:r>
      <w:proofErr w:type="gramEnd"/>
      <w:r w:rsidRPr="00A704FA">
        <w:t xml:space="preserve"> states: “</w:t>
      </w:r>
      <w:r w:rsidRPr="00A704FA">
        <w:rPr>
          <w:lang w:val="en-US"/>
        </w:rPr>
        <w:t>All women, during pregnancy and the nursing period</w:t>
      </w:r>
      <w:r w:rsidR="00B012CB">
        <w:rPr>
          <w:lang w:val="en-US"/>
        </w:rPr>
        <w:t>…</w:t>
      </w:r>
      <w:r w:rsidRPr="00A704FA">
        <w:rPr>
          <w:lang w:val="en-US"/>
        </w:rPr>
        <w:t xml:space="preserve"> have the right to special protection, care and aid.”</w:t>
      </w:r>
      <w:r w:rsidRPr="00A704FA">
        <w:rPr>
          <w:vertAlign w:val="superscript"/>
          <w:lang w:val="en-US"/>
        </w:rPr>
        <w:footnoteReference w:id="287"/>
      </w:r>
      <w:r w:rsidRPr="00A704FA">
        <w:rPr>
          <w:lang w:val="en-US"/>
        </w:rPr>
        <w:t xml:space="preserve">  Similarly, </w:t>
      </w:r>
      <w:r w:rsidRPr="00A704FA">
        <w:t>the Universal Declaration of Human Rights states</w:t>
      </w:r>
      <w:r w:rsidR="00B012CB">
        <w:t>:</w:t>
      </w:r>
      <w:r w:rsidRPr="00A704FA">
        <w:t xml:space="preserve"> “Everyone has the right to a standard of living adequate for the health and well-being of himself and his family, including… medical care and necessary social services…</w:t>
      </w:r>
      <w:r w:rsidR="00B012CB">
        <w:t xml:space="preserve"> </w:t>
      </w:r>
      <w:r w:rsidRPr="00A704FA">
        <w:t>motherhood and childhood are entitled to special care and assistance.”</w:t>
      </w:r>
      <w:r w:rsidRPr="00A704FA">
        <w:rPr>
          <w:vertAlign w:val="superscript"/>
        </w:rPr>
        <w:footnoteReference w:id="288"/>
      </w:r>
    </w:p>
    <w:p w14:paraId="5FF7FDA8" w14:textId="08396671" w:rsidR="00A704FA" w:rsidRDefault="00A704FA" w:rsidP="00A704FA">
      <w:pPr>
        <w:pStyle w:val="RTNumberedSubheading"/>
      </w:pPr>
      <w:bookmarkStart w:id="49" w:name="_Toc482741447"/>
      <w:r w:rsidRPr="00A704FA">
        <w:t>Criminalizing pregnancy deters women’s access to healthcare services</w:t>
      </w:r>
      <w:bookmarkEnd w:id="49"/>
    </w:p>
    <w:p w14:paraId="34BE9614" w14:textId="33B03EAA" w:rsidR="00A704FA" w:rsidRPr="00A704FA" w:rsidRDefault="00A704FA" w:rsidP="00A704FA">
      <w:pPr>
        <w:pStyle w:val="RTBodyText"/>
        <w:rPr>
          <w:lang w:eastAsia="en-GB"/>
        </w:rPr>
      </w:pPr>
      <w:r w:rsidRPr="00A704FA">
        <w:rPr>
          <w:lang w:eastAsia="en-GB"/>
        </w:rPr>
        <w:t xml:space="preserve">In the USA, pregnant women who use drugs lie at the </w:t>
      </w:r>
      <w:proofErr w:type="spellStart"/>
      <w:r w:rsidRPr="00A704FA">
        <w:rPr>
          <w:lang w:eastAsia="en-GB"/>
        </w:rPr>
        <w:t>center</w:t>
      </w:r>
      <w:proofErr w:type="spellEnd"/>
      <w:r w:rsidRPr="00A704FA">
        <w:rPr>
          <w:lang w:eastAsia="en-GB"/>
        </w:rPr>
        <w:t xml:space="preserve"> of a political battleground over their sexual and reproductive health and </w:t>
      </w:r>
      <w:proofErr w:type="gramStart"/>
      <w:r w:rsidRPr="00A704FA">
        <w:rPr>
          <w:lang w:eastAsia="en-GB"/>
        </w:rPr>
        <w:t>rights that intersects</w:t>
      </w:r>
      <w:proofErr w:type="gramEnd"/>
      <w:r w:rsidRPr="00A704FA">
        <w:rPr>
          <w:lang w:eastAsia="en-GB"/>
        </w:rPr>
        <w:t xml:space="preserve"> with a stigmatizing and punitive drug control regime. However, neither the condition of pregnancy nor drug </w:t>
      </w:r>
      <w:proofErr w:type="gramStart"/>
      <w:r w:rsidRPr="00A704FA">
        <w:rPr>
          <w:lang w:eastAsia="en-GB"/>
        </w:rPr>
        <w:t>use justify</w:t>
      </w:r>
      <w:proofErr w:type="gramEnd"/>
      <w:r w:rsidRPr="00A704FA">
        <w:rPr>
          <w:lang w:eastAsia="en-GB"/>
        </w:rPr>
        <w:t xml:space="preserve"> the violation of individuals’ human rights. </w:t>
      </w:r>
    </w:p>
    <w:p w14:paraId="0E9056BC" w14:textId="269AFD30" w:rsidR="00A704FA" w:rsidRPr="00A704FA" w:rsidRDefault="00A704FA" w:rsidP="00A704FA">
      <w:pPr>
        <w:pStyle w:val="RTBodyText"/>
        <w:rPr>
          <w:lang w:eastAsia="en-GB"/>
        </w:rPr>
      </w:pPr>
      <w:r w:rsidRPr="00A704FA">
        <w:rPr>
          <w:lang w:eastAsia="en-GB"/>
        </w:rPr>
        <w:t xml:space="preserve">Despite the purported health-related aims of laws specifically penalizing pregnant women’s drug use, professional health associations and human rights experts have uniformly dismissed such legislation as damaging to public health and human rights. </w:t>
      </w:r>
      <w:r w:rsidR="00B012CB">
        <w:rPr>
          <w:lang w:eastAsia="en-GB"/>
        </w:rPr>
        <w:t>T</w:t>
      </w:r>
      <w:r w:rsidRPr="00A704FA">
        <w:rPr>
          <w:lang w:eastAsia="en-GB"/>
        </w:rPr>
        <w:t xml:space="preserve">he UN Special Rapporteur on the Right to the right of everyone to the enjoyment of the highest attainable standard of physical and mental health (“Special Rapporteur on the Right to Health”) has confirmed that criminalization of various forms of conduct during pregnancy such as drug use impedes access to healthcare goods and services, infringing the right to health of pregnant women. The threat of criminal laws around pregnancy have a chilling effect on women and create barriers to seeking care while eroding trust in </w:t>
      </w:r>
      <w:r w:rsidR="00CF7C14">
        <w:rPr>
          <w:lang w:eastAsia="en-GB"/>
        </w:rPr>
        <w:t>healthcare</w:t>
      </w:r>
      <w:r w:rsidRPr="00A704FA">
        <w:rPr>
          <w:lang w:eastAsia="en-GB"/>
        </w:rPr>
        <w:t xml:space="preserve"> providers. The Special Rapporteur has explicitly called for states to suspend the application of “existing criminal laws to various forms of conduct during pregnancy.”</w:t>
      </w:r>
      <w:r w:rsidRPr="00A704FA">
        <w:rPr>
          <w:vertAlign w:val="superscript"/>
          <w:lang w:eastAsia="en-GB"/>
        </w:rPr>
        <w:footnoteReference w:id="289"/>
      </w:r>
      <w:r w:rsidRPr="00A704FA">
        <w:rPr>
          <w:lang w:eastAsia="en-GB"/>
        </w:rPr>
        <w:t xml:space="preserve"> Laws that criminalize conduct during pregnancy are a disproportionate response and an ineffective deterrent to drug use. They are also discriminatory, as the UN Working Group on the issue of discrimination against women in law and in practice has highlighted: “the use in some countries of custodial or punitive rather than educative measures to prevent injury to the </w:t>
      </w:r>
      <w:proofErr w:type="spellStart"/>
      <w:r w:rsidRPr="00A704FA">
        <w:rPr>
          <w:lang w:eastAsia="en-GB"/>
        </w:rPr>
        <w:t>fetus</w:t>
      </w:r>
      <w:proofErr w:type="spellEnd"/>
      <w:r w:rsidRPr="00A704FA">
        <w:rPr>
          <w:lang w:eastAsia="en-GB"/>
        </w:rPr>
        <w:t xml:space="preserve"> as result of drug or alcohol consumption by addicted pregnant women is another manifestation of gender discrimination</w:t>
      </w:r>
      <w:r w:rsidR="00B012CB">
        <w:rPr>
          <w:lang w:eastAsia="en-GB"/>
        </w:rPr>
        <w:t>.</w:t>
      </w:r>
      <w:r w:rsidRPr="00A704FA">
        <w:rPr>
          <w:lang w:eastAsia="en-GB"/>
        </w:rPr>
        <w:t>”</w:t>
      </w:r>
      <w:r w:rsidRPr="00A704FA">
        <w:rPr>
          <w:vertAlign w:val="superscript"/>
          <w:lang w:eastAsia="en-GB"/>
        </w:rPr>
        <w:footnoteReference w:id="290"/>
      </w:r>
    </w:p>
    <w:p w14:paraId="525C1920" w14:textId="026885AC" w:rsidR="00A704FA" w:rsidRPr="00A704FA" w:rsidRDefault="00A704FA" w:rsidP="00A704FA">
      <w:pPr>
        <w:pStyle w:val="RTBodyText"/>
        <w:rPr>
          <w:vertAlign w:val="superscript"/>
          <w:lang w:eastAsia="en-GB"/>
        </w:rPr>
      </w:pPr>
      <w:r w:rsidRPr="00A704FA">
        <w:rPr>
          <w:lang w:eastAsia="en-GB"/>
        </w:rPr>
        <w:t xml:space="preserve">Criminal laws can violate the right to health when </w:t>
      </w:r>
      <w:r w:rsidRPr="001515FC">
        <w:rPr>
          <w:lang w:eastAsia="en-GB"/>
        </w:rPr>
        <w:t xml:space="preserve">they discourage or prevent individuals from obtaining medical care and from freely making their own </w:t>
      </w:r>
      <w:r w:rsidR="00CF7C14">
        <w:rPr>
          <w:lang w:eastAsia="en-GB"/>
        </w:rPr>
        <w:t>healthcare</w:t>
      </w:r>
      <w:r w:rsidRPr="00B96743">
        <w:rPr>
          <w:lang w:eastAsia="en-GB"/>
        </w:rPr>
        <w:t xml:space="preserve"> decisions. In this context, the UN Special Rapporteur on the Right to Health –</w:t>
      </w:r>
      <w:r w:rsidRPr="00A704FA">
        <w:rPr>
          <w:lang w:eastAsia="en-GB"/>
        </w:rPr>
        <w:t xml:space="preserve"> an independent human rights expert appointed by the UN Human Rights Council </w:t>
      </w:r>
      <w:r w:rsidR="00B8044F" w:rsidRPr="00A704FA">
        <w:rPr>
          <w:lang w:eastAsia="en-GB"/>
        </w:rPr>
        <w:t xml:space="preserve">– </w:t>
      </w:r>
      <w:r w:rsidRPr="00A704FA">
        <w:rPr>
          <w:lang w:eastAsia="en-GB"/>
        </w:rPr>
        <w:t xml:space="preserve">has further criticized criminal laws relating to sexual and reproductive health, perinatal HIV transmission and drug use </w:t>
      </w:r>
      <w:r w:rsidRPr="00A704FA">
        <w:rPr>
          <w:lang w:eastAsia="en-GB"/>
        </w:rPr>
        <w:lastRenderedPageBreak/>
        <w:t>during pregnancy.</w:t>
      </w:r>
      <w:r w:rsidRPr="00A704FA">
        <w:rPr>
          <w:vertAlign w:val="superscript"/>
          <w:lang w:eastAsia="en-GB"/>
        </w:rPr>
        <w:footnoteReference w:id="291"/>
      </w:r>
      <w:r w:rsidRPr="00A704FA">
        <w:rPr>
          <w:lang w:eastAsia="en-GB"/>
        </w:rPr>
        <w:t xml:space="preserve"> The Special Rapporteur has confirmed that where a barrier to individual </w:t>
      </w:r>
      <w:r w:rsidR="00CF7C14">
        <w:rPr>
          <w:lang w:eastAsia="en-GB"/>
        </w:rPr>
        <w:t>healthcare</w:t>
      </w:r>
      <w:r w:rsidRPr="00A704FA">
        <w:rPr>
          <w:lang w:eastAsia="en-GB"/>
        </w:rPr>
        <w:t xml:space="preserve"> decision</w:t>
      </w:r>
      <w:r w:rsidR="00B8044F">
        <w:rPr>
          <w:lang w:eastAsia="en-GB"/>
        </w:rPr>
        <w:t>-</w:t>
      </w:r>
      <w:r w:rsidRPr="00A704FA">
        <w:rPr>
          <w:lang w:eastAsia="en-GB"/>
        </w:rPr>
        <w:t xml:space="preserve">making and access to </w:t>
      </w:r>
      <w:r w:rsidR="00CF7C14">
        <w:rPr>
          <w:lang w:eastAsia="en-GB"/>
        </w:rPr>
        <w:t>healthcare</w:t>
      </w:r>
      <w:r w:rsidRPr="00A704FA">
        <w:rPr>
          <w:lang w:eastAsia="en-GB"/>
        </w:rPr>
        <w:t xml:space="preserve"> is “created by a criminal law or other legal restriction, it is the obligation of the State to remove it.”</w:t>
      </w:r>
      <w:r w:rsidRPr="00A704FA">
        <w:rPr>
          <w:vertAlign w:val="superscript"/>
          <w:lang w:eastAsia="en-GB"/>
        </w:rPr>
        <w:footnoteReference w:id="292"/>
      </w:r>
      <w:r w:rsidRPr="00A704FA">
        <w:rPr>
          <w:vertAlign w:val="superscript"/>
          <w:lang w:eastAsia="en-GB"/>
        </w:rPr>
        <w:t xml:space="preserve"> </w:t>
      </w:r>
    </w:p>
    <w:p w14:paraId="323CCE9F" w14:textId="3B42DF4A" w:rsidR="00A704FA" w:rsidRDefault="00A704FA" w:rsidP="00A704FA">
      <w:pPr>
        <w:pStyle w:val="RTBodyText"/>
        <w:rPr>
          <w:lang w:eastAsia="en-GB"/>
        </w:rPr>
      </w:pPr>
      <w:r w:rsidRPr="00A704FA">
        <w:rPr>
          <w:lang w:eastAsia="en-GB"/>
        </w:rPr>
        <w:t xml:space="preserve">Rather than criminalizing pregnant women’s drug use, </w:t>
      </w:r>
      <w:r w:rsidR="00B8044F">
        <w:rPr>
          <w:lang w:eastAsia="en-GB"/>
        </w:rPr>
        <w:t>s</w:t>
      </w:r>
      <w:r w:rsidRPr="00A704FA">
        <w:rPr>
          <w:lang w:eastAsia="en-GB"/>
        </w:rPr>
        <w:t xml:space="preserve">tates can more effectively protect </w:t>
      </w:r>
      <w:proofErr w:type="spellStart"/>
      <w:r w:rsidRPr="00A704FA">
        <w:rPr>
          <w:lang w:eastAsia="en-GB"/>
        </w:rPr>
        <w:t>fetuses</w:t>
      </w:r>
      <w:proofErr w:type="spellEnd"/>
      <w:r w:rsidRPr="00A704FA">
        <w:rPr>
          <w:lang w:eastAsia="en-GB"/>
        </w:rPr>
        <w:t xml:space="preserve"> from harm through other available approaches that respect human rights and promote healthy pregnancies. Pregnancy criminalization laws such as Tennessee’s “</w:t>
      </w:r>
      <w:proofErr w:type="spellStart"/>
      <w:r w:rsidRPr="00A704FA">
        <w:rPr>
          <w:lang w:eastAsia="en-GB"/>
        </w:rPr>
        <w:t>fetal</w:t>
      </w:r>
      <w:proofErr w:type="spellEnd"/>
      <w:r w:rsidRPr="00A704FA">
        <w:rPr>
          <w:lang w:eastAsia="en-GB"/>
        </w:rPr>
        <w:t xml:space="preserve"> assault” law and Alabama’s “chemical endangerment” law are vague and overbroad, rendering women at risk of penalization as soon as they become pregnant. The vague language and inconsistent application of pregnancy criminalization laws create an atmosphere of uncertainty that deters women from trusting their </w:t>
      </w:r>
      <w:r w:rsidR="00CF7C14">
        <w:rPr>
          <w:lang w:eastAsia="en-GB"/>
        </w:rPr>
        <w:t>healthcare</w:t>
      </w:r>
      <w:r w:rsidRPr="00A704FA">
        <w:rPr>
          <w:lang w:eastAsia="en-GB"/>
        </w:rPr>
        <w:t xml:space="preserve"> providers and seeking </w:t>
      </w:r>
      <w:r w:rsidR="00CF7C14">
        <w:rPr>
          <w:lang w:eastAsia="en-GB"/>
        </w:rPr>
        <w:t>healthcare</w:t>
      </w:r>
      <w:r w:rsidRPr="00A704FA">
        <w:rPr>
          <w:lang w:eastAsia="en-GB"/>
        </w:rPr>
        <w:t>.</w:t>
      </w:r>
    </w:p>
    <w:p w14:paraId="4909DC7B" w14:textId="4F3B4D3D" w:rsidR="007C6AEE" w:rsidRPr="00A704FA" w:rsidRDefault="007C6AEE" w:rsidP="00A704FA">
      <w:pPr>
        <w:pStyle w:val="RTBodyText"/>
        <w:rPr>
          <w:bCs/>
          <w:lang w:eastAsia="en-GB"/>
        </w:rPr>
      </w:pPr>
      <w:r w:rsidRPr="00A704FA">
        <w:rPr>
          <w:lang w:eastAsia="en-GB"/>
        </w:rPr>
        <w:t>In the end, taking a right</w:t>
      </w:r>
      <w:r>
        <w:rPr>
          <w:lang w:eastAsia="en-GB"/>
        </w:rPr>
        <w:t>-</w:t>
      </w:r>
      <w:r w:rsidRPr="00A704FA">
        <w:rPr>
          <w:lang w:eastAsia="en-GB"/>
        </w:rPr>
        <w:t>to</w:t>
      </w:r>
      <w:r>
        <w:rPr>
          <w:lang w:eastAsia="en-GB"/>
        </w:rPr>
        <w:t>-</w:t>
      </w:r>
      <w:r w:rsidRPr="00A704FA">
        <w:rPr>
          <w:lang w:eastAsia="en-GB"/>
        </w:rPr>
        <w:t>health</w:t>
      </w:r>
      <w:r>
        <w:rPr>
          <w:lang w:eastAsia="en-GB"/>
        </w:rPr>
        <w:t>-</w:t>
      </w:r>
      <w:r w:rsidRPr="00A704FA">
        <w:rPr>
          <w:lang w:eastAsia="en-GB"/>
        </w:rPr>
        <w:t>approach to states’ laws, policies and practices around pregnancy could ensure that the need for drug treatment is not a reason for bringing women into criminal justice systems.</w:t>
      </w:r>
      <w:r>
        <w:rPr>
          <w:lang w:eastAsia="en-GB"/>
        </w:rPr>
        <w:t xml:space="preserve"> </w:t>
      </w:r>
      <w:r w:rsidRPr="00CC5BC5">
        <w:t>Criminal justice systems should never be relied on as a primary path for healthcare treatment and support.</w:t>
      </w:r>
    </w:p>
    <w:p w14:paraId="65744FF9" w14:textId="1E3C6B9B" w:rsidR="00A704FA" w:rsidRDefault="00A704FA" w:rsidP="00CC5BC5">
      <w:pPr>
        <w:pStyle w:val="RTNumberedSubheading"/>
      </w:pPr>
      <w:bookmarkStart w:id="50" w:name="_Toc482741448"/>
      <w:r>
        <w:t>Drug testing without informed consent and coercive testing practices</w:t>
      </w:r>
      <w:bookmarkEnd w:id="50"/>
    </w:p>
    <w:p w14:paraId="0870BC30" w14:textId="15DBFE50" w:rsidR="00B8044F" w:rsidRDefault="00427FAE" w:rsidP="00427FAE">
      <w:pPr>
        <w:pStyle w:val="RTBodyText"/>
      </w:pPr>
      <w:r w:rsidRPr="00427FAE">
        <w:t xml:space="preserve">According to </w:t>
      </w:r>
      <w:r w:rsidR="00BF4627">
        <w:t xml:space="preserve">the </w:t>
      </w:r>
      <w:r w:rsidRPr="00427FAE">
        <w:t>World Health Organization (WHO) guidelines, drug treatment should not be compulsory and should only be undertaken with informed consent.</w:t>
      </w:r>
      <w:r w:rsidRPr="00427FAE">
        <w:rPr>
          <w:vertAlign w:val="superscript"/>
        </w:rPr>
        <w:footnoteReference w:id="293"/>
      </w:r>
      <w:r w:rsidRPr="00427FAE">
        <w:t xml:space="preserve"> Informed consent to medical treatment is an essential component of the right to health. The concept is grounded in the ethical principle of patient autonomy</w:t>
      </w:r>
      <w:r w:rsidRPr="00427FAE">
        <w:rPr>
          <w:vertAlign w:val="superscript"/>
        </w:rPr>
        <w:footnoteReference w:id="294"/>
      </w:r>
      <w:r w:rsidRPr="00427FAE">
        <w:t xml:space="preserve"> and human rights.</w:t>
      </w:r>
      <w:r w:rsidRPr="00427FAE">
        <w:rPr>
          <w:vertAlign w:val="superscript"/>
        </w:rPr>
        <w:footnoteReference w:id="295"/>
      </w:r>
      <w:r w:rsidRPr="00427FAE">
        <w:t xml:space="preserve"> Informed consent is the ability to make a voluntary and sufficiently informed decision, which protects the right of the patient to be involved in medical decision-making, and</w:t>
      </w:r>
      <w:r w:rsidR="00B8044F">
        <w:t xml:space="preserve"> it</w:t>
      </w:r>
      <w:r w:rsidRPr="00427FAE">
        <w:t xml:space="preserve"> assigns duties and obligations to health-care providers.</w:t>
      </w:r>
      <w:r w:rsidRPr="00427FAE">
        <w:rPr>
          <w:vertAlign w:val="superscript"/>
        </w:rPr>
        <w:footnoteReference w:id="296"/>
      </w:r>
      <w:r w:rsidRPr="00427FAE">
        <w:t xml:space="preserve"> </w:t>
      </w:r>
    </w:p>
    <w:p w14:paraId="1EAED3E2" w14:textId="67F036C1" w:rsidR="00427FAE" w:rsidRPr="00427FAE" w:rsidRDefault="00427FAE" w:rsidP="00427FAE">
      <w:pPr>
        <w:pStyle w:val="RTBodyText"/>
      </w:pPr>
      <w:r w:rsidRPr="00427FAE">
        <w:t xml:space="preserve">Informed consent requires that information must be provided voluntarily, without coercion, undue influence or misrepresentation. It mandates disclosure of the benefits, risks and alternatives associated with any offered medical procedure or </w:t>
      </w:r>
      <w:r w:rsidRPr="001515FC">
        <w:t>treatment.</w:t>
      </w:r>
      <w:r w:rsidRPr="001515FC">
        <w:rPr>
          <w:vertAlign w:val="superscript"/>
        </w:rPr>
        <w:footnoteReference w:id="297"/>
      </w:r>
      <w:r w:rsidRPr="001515FC">
        <w:t xml:space="preserve"> Special attention should be paid to marginalized groups to ensure that the requirements of informed consent are met.</w:t>
      </w:r>
      <w:r w:rsidRPr="001515FC">
        <w:rPr>
          <w:vertAlign w:val="superscript"/>
        </w:rPr>
        <w:footnoteReference w:id="298"/>
      </w:r>
      <w:r w:rsidRPr="001515FC">
        <w:t xml:space="preserve"> The UN Special Rapporteur on Torture and Other Cruel, Inhuman or Degrading Treatment or Punishment (“Special Rapporteur</w:t>
      </w:r>
      <w:r w:rsidRPr="00427FAE">
        <w:t xml:space="preserve"> on Torture”) has highlighted that informed consent is a critical element of voluntary counselling, testing and treatment, particularly for marginalized groups.</w:t>
      </w:r>
      <w:r w:rsidRPr="00427FAE">
        <w:rPr>
          <w:vertAlign w:val="superscript"/>
        </w:rPr>
        <w:footnoteReference w:id="299"/>
      </w:r>
      <w:r w:rsidRPr="00427FAE">
        <w:t xml:space="preserve"> </w:t>
      </w:r>
    </w:p>
    <w:p w14:paraId="3107C651" w14:textId="5E569A97" w:rsidR="00BF4627" w:rsidRDefault="00427FAE" w:rsidP="00427FAE">
      <w:pPr>
        <w:pStyle w:val="RTBodyText"/>
      </w:pPr>
      <w:r w:rsidRPr="00427FAE">
        <w:t xml:space="preserve">In the context of reproductive </w:t>
      </w:r>
      <w:r w:rsidR="00CF7C14">
        <w:t>healthcare</w:t>
      </w:r>
      <w:r w:rsidRPr="00427FAE">
        <w:t xml:space="preserve">, the Inter-American Commission on Human Rights, the official body of independent experts elected by members of the Organization of American States to monitor human rights performance, has emphasized the need for </w:t>
      </w:r>
      <w:r w:rsidR="00BF4627">
        <w:t>s</w:t>
      </w:r>
      <w:r w:rsidRPr="00427FAE">
        <w:t>tates to ensure that women make decisions about their reproductive health free from discrimination,</w:t>
      </w:r>
      <w:r w:rsidR="00BF4627">
        <w:t xml:space="preserve"> </w:t>
      </w:r>
      <w:r w:rsidRPr="00427FAE">
        <w:t>and that women give their informed consent for medical treatment.</w:t>
      </w:r>
      <w:r w:rsidRPr="00427FAE">
        <w:rPr>
          <w:vertAlign w:val="superscript"/>
        </w:rPr>
        <w:footnoteReference w:id="300"/>
      </w:r>
      <w:r w:rsidRPr="00427FAE">
        <w:t xml:space="preserve"> The CEDAW Committee has also stressed the right to full and informed consent of women in their reproductive life decisions.</w:t>
      </w:r>
      <w:r w:rsidRPr="00427FAE">
        <w:rPr>
          <w:vertAlign w:val="superscript"/>
        </w:rPr>
        <w:footnoteReference w:id="301"/>
      </w:r>
      <w:r w:rsidRPr="00427FAE">
        <w:t xml:space="preserve">  Free and informed decision-making and consent requirements also apply to drug testing and treatment, as these obligations apply to all medical procedures. </w:t>
      </w:r>
    </w:p>
    <w:p w14:paraId="34034D42" w14:textId="27B46257" w:rsidR="00427FAE" w:rsidRPr="00427FAE" w:rsidRDefault="00427FAE" w:rsidP="00427FAE">
      <w:pPr>
        <w:pStyle w:val="RTBodyText"/>
      </w:pPr>
      <w:r w:rsidRPr="00427FAE">
        <w:lastRenderedPageBreak/>
        <w:t>Alarmingly, not only did the majority of the women interviewed for this report not give informed consent for drug testing in the context of maternity care, but many did not even know they were being tested</w:t>
      </w:r>
      <w:r w:rsidR="00BF4627">
        <w:t xml:space="preserve">. </w:t>
      </w:r>
      <w:r w:rsidRPr="00427FAE">
        <w:t>This violates pregnant women’s right to health as well as their right to privacy (see “Right to Privacy” for further discussion). The UN Special Rapporteur on Torture has noted that subjecting people to “treatment or testing without their consent may constitute a violation of the right to physical integrity.”</w:t>
      </w:r>
      <w:r w:rsidRPr="00427FAE">
        <w:rPr>
          <w:vertAlign w:val="superscript"/>
        </w:rPr>
        <w:footnoteReference w:id="302"/>
      </w:r>
      <w:r w:rsidRPr="00427FAE">
        <w:t xml:space="preserve"> The Special Rapporte</w:t>
      </w:r>
      <w:r w:rsidR="00BF4627">
        <w:t>u</w:t>
      </w:r>
      <w:r w:rsidRPr="00427FAE">
        <w:t>r has made clear that “drug dependence should be treated like any other health-care condition,”</w:t>
      </w:r>
      <w:r w:rsidRPr="00427FAE">
        <w:rPr>
          <w:vertAlign w:val="superscript"/>
        </w:rPr>
        <w:footnoteReference w:id="303"/>
      </w:r>
      <w:r w:rsidRPr="00427FAE">
        <w:t xml:space="preserve"> thus requiring medical providers to abide by clear “informed consent” requirements around treatment and drug testing. </w:t>
      </w:r>
    </w:p>
    <w:p w14:paraId="0B7766E7" w14:textId="5260D7D5" w:rsidR="00427FAE" w:rsidRPr="00427FAE" w:rsidRDefault="00427FAE" w:rsidP="00427FAE">
      <w:pPr>
        <w:pStyle w:val="RTBodyText"/>
      </w:pPr>
      <w:r w:rsidRPr="00427FAE">
        <w:t xml:space="preserve">Beyond informed consent, human rights violations can occur in situations of compulsory testing. The UN Special Rapporteur on the Right to Health has confirmed that compulsory testing must not be used as a means to police private </w:t>
      </w:r>
      <w:proofErr w:type="spellStart"/>
      <w:r w:rsidRPr="00427FAE">
        <w:t>behavior</w:t>
      </w:r>
      <w:proofErr w:type="spellEnd"/>
      <w:r w:rsidRPr="00427FAE">
        <w:t xml:space="preserve"> and any limitations must be carefully justified by public health necessity and implemented with participation, transparency and accountability.</w:t>
      </w:r>
      <w:r w:rsidRPr="00427FAE">
        <w:rPr>
          <w:vertAlign w:val="superscript"/>
        </w:rPr>
        <w:footnoteReference w:id="304"/>
      </w:r>
      <w:r w:rsidRPr="00427FAE">
        <w:t xml:space="preserve"> For example, temporary measures can be justified in exceptional circumstances, such as to prevent pandemic influenza, but personal drug use does not meet this threshold.</w:t>
      </w:r>
      <w:r w:rsidRPr="00427FAE">
        <w:rPr>
          <w:vertAlign w:val="superscript"/>
        </w:rPr>
        <w:footnoteReference w:id="305"/>
      </w:r>
      <w:r w:rsidRPr="00427FAE">
        <w:t xml:space="preserve"> </w:t>
      </w:r>
    </w:p>
    <w:p w14:paraId="44A41D3D" w14:textId="74E01E59" w:rsidR="00427FAE" w:rsidRPr="00427FAE" w:rsidRDefault="00427FAE" w:rsidP="00427FAE">
      <w:pPr>
        <w:pStyle w:val="RTBodyText"/>
      </w:pPr>
      <w:r w:rsidRPr="00427FAE">
        <w:t xml:space="preserve">While states have a legitimate interest in promoting maternal health, efforts should be made to ensure that this aim actually underlies their laws, policies and practices around pregnancy and that they comply with human rights standards. As documented throughout this report, however, drug testing is a compulsory component of and effectively a condition to accessing prenatal </w:t>
      </w:r>
      <w:r w:rsidR="00CF7C14">
        <w:t>healthcare</w:t>
      </w:r>
      <w:r w:rsidRPr="00427FAE">
        <w:t xml:space="preserve"> for many women</w:t>
      </w:r>
      <w:r w:rsidR="00BF4627">
        <w:t xml:space="preserve"> in the US</w:t>
      </w:r>
      <w:r w:rsidRPr="00427FAE">
        <w:t xml:space="preserve">. Additionally, those who had disclosed their drug use to a </w:t>
      </w:r>
      <w:r w:rsidR="00CF7C14">
        <w:t>healthcare</w:t>
      </w:r>
      <w:r w:rsidRPr="00427FAE">
        <w:t xml:space="preserve"> provider were more likely to be flagged for testing and those who had cases with CPS were often tested. These practices raise significant human rights concerns including potential violations of the right to health.</w:t>
      </w:r>
    </w:p>
    <w:p w14:paraId="68AB4988" w14:textId="308D2E69" w:rsidR="00427FAE" w:rsidRPr="00427FAE" w:rsidRDefault="00427FAE" w:rsidP="00427FAE">
      <w:pPr>
        <w:pStyle w:val="RTBodyText"/>
      </w:pPr>
      <w:r w:rsidRPr="00427FAE">
        <w:t>Amnesty International’s research further confirmed that coerced testing is also a frequent occurrence for those in “drug court” or other similar diversion programs. Not only is drug testing generally required to avoid more severe sanctions, but the decision to enter treatment is also coerced, as it is a means to avoid incarceration or other punishment. While compulsory treatment may be touted by prosecutors and judges as a less severe “alternative” punishment compared to serving jail time, such sanctions cannot be imposed without considering the impact of compulsory testing on the rights to health and privacy. As noted by the UN Special Rapporteur on the Right to Healt</w:t>
      </w:r>
      <w:r w:rsidR="001B52F6">
        <w:t>h:</w:t>
      </w:r>
    </w:p>
    <w:p w14:paraId="0E30C3B2" w14:textId="77777777" w:rsidR="00427FAE" w:rsidRDefault="00427FAE" w:rsidP="0056154C">
      <w:pPr>
        <w:pStyle w:val="RTSmallQuoteText"/>
      </w:pPr>
      <w:r w:rsidRPr="00427FAE">
        <w:t>“Treating persons who use drugs as criminals is counterproductive from a right to health perspective. States should change legislation that supports criminalization based on non-consensual testing. Any routine drug or alcohol testing should be consensual to encourage appropriate conditions of counselling and treatment, and implemented in a non-discriminatory, transparent and inclusive way. Testing and treatment protocols should treat drug dependence like any other health-care condition.”</w:t>
      </w:r>
      <w:r w:rsidRPr="00427FAE">
        <w:rPr>
          <w:vertAlign w:val="superscript"/>
        </w:rPr>
        <w:footnoteReference w:id="306"/>
      </w:r>
    </w:p>
    <w:tbl>
      <w:tblPr>
        <w:tblStyle w:val="RTTintedPullout"/>
        <w:tblW w:w="8278" w:type="dxa"/>
        <w:tblLook w:val="04A0" w:firstRow="1" w:lastRow="0" w:firstColumn="1" w:lastColumn="0" w:noHBand="0" w:noVBand="1"/>
      </w:tblPr>
      <w:tblGrid>
        <w:gridCol w:w="8278"/>
      </w:tblGrid>
      <w:tr w:rsidR="0056154C" w:rsidRPr="00C06C22" w14:paraId="233A7DA3" w14:textId="77777777" w:rsidTr="00677EC2">
        <w:trPr>
          <w:trHeight w:val="614"/>
        </w:trPr>
        <w:tc>
          <w:tcPr>
            <w:tcW w:w="8272" w:type="dxa"/>
          </w:tcPr>
          <w:p w14:paraId="3BC62C37" w14:textId="62C0532D" w:rsidR="0056154C" w:rsidRPr="00C06C22" w:rsidRDefault="0056154C" w:rsidP="00677EC2">
            <w:pPr>
              <w:pStyle w:val="RTSmallheadingCAPS"/>
            </w:pPr>
            <w:r>
              <w:lastRenderedPageBreak/>
              <w:t>impact of drug policies on human rights</w:t>
            </w:r>
          </w:p>
          <w:p w14:paraId="24AE7BAC" w14:textId="52F767FE" w:rsidR="0056154C" w:rsidRPr="0056154C" w:rsidRDefault="0056154C" w:rsidP="0056154C">
            <w:pPr>
              <w:pStyle w:val="RTBodyText"/>
            </w:pPr>
            <w:r w:rsidRPr="0056154C">
              <w:t>The human rights dimensions of drug control policies are increasingly being considered by international human rights experts.</w:t>
            </w:r>
            <w:r w:rsidRPr="0056154C">
              <w:rPr>
                <w:vertAlign w:val="superscript"/>
              </w:rPr>
              <w:footnoteReference w:id="307"/>
            </w:r>
            <w:r w:rsidRPr="0056154C">
              <w:rPr>
                <w:vertAlign w:val="superscript"/>
              </w:rPr>
              <w:t xml:space="preserve"> </w:t>
            </w:r>
            <w:r w:rsidRPr="0056154C">
              <w:t xml:space="preserve">In 2015, the Office of the High Commissioner for Human Rights (OHCHR) released its first ever </w:t>
            </w:r>
            <w:proofErr w:type="gramStart"/>
            <w:r w:rsidRPr="0056154C">
              <w:t>study</w:t>
            </w:r>
            <w:proofErr w:type="gramEnd"/>
            <w:r w:rsidRPr="0056154C">
              <w:t xml:space="preserve"> on the impact of the world drug problem on the enjoyment of human rights.</w:t>
            </w:r>
            <w:r w:rsidRPr="0056154C">
              <w:rPr>
                <w:vertAlign w:val="superscript"/>
              </w:rPr>
              <w:footnoteReference w:id="308"/>
            </w:r>
            <w:r w:rsidRPr="0056154C">
              <w:t xml:space="preserve">  The report raises concern about the criminalization of drug use during pregnancy, pointing out that in addition to criminal penalties, women may also face losing custody of their children without justification as to the necessity of such intervention in order to prevent harm to children or to demonstrate that doing so is in the best interest of the child, and detention during pregnancy</w:t>
            </w:r>
            <w:r w:rsidRPr="0056154C">
              <w:rPr>
                <w:vertAlign w:val="superscript"/>
              </w:rPr>
              <w:footnoteReference w:id="309"/>
            </w:r>
            <w:r w:rsidRPr="0056154C">
              <w:t xml:space="preserve">; all of which are penalties used in the United States. </w:t>
            </w:r>
          </w:p>
          <w:p w14:paraId="54CB42F6" w14:textId="3639D155" w:rsidR="0056154C" w:rsidRPr="0056154C" w:rsidRDefault="0056154C" w:rsidP="0056154C">
            <w:pPr>
              <w:pStyle w:val="RTBodyText"/>
            </w:pPr>
            <w:r w:rsidRPr="0056154C">
              <w:t>The OHCHR has also released statements</w:t>
            </w:r>
            <w:r w:rsidRPr="0056154C">
              <w:rPr>
                <w:vertAlign w:val="superscript"/>
              </w:rPr>
              <w:footnoteReference w:id="310"/>
            </w:r>
            <w:r w:rsidRPr="0056154C">
              <w:t xml:space="preserve"> highlighting the harms of criminalization on the human rights of people who use drugs, particularly noting the impact of criminalization on access to </w:t>
            </w:r>
            <w:r w:rsidR="00CF7C14">
              <w:t>healthcare</w:t>
            </w:r>
            <w:r w:rsidRPr="0056154C">
              <w:t xml:space="preserve"> services: </w:t>
            </w:r>
          </w:p>
          <w:p w14:paraId="14D4AA2A" w14:textId="2BAD52B6" w:rsidR="0056154C" w:rsidRPr="0056154C" w:rsidRDefault="0056154C" w:rsidP="0056154C">
            <w:pPr>
              <w:pStyle w:val="RTBodyText"/>
              <w:rPr>
                <w:vertAlign w:val="superscript"/>
              </w:rPr>
            </w:pPr>
            <w:r w:rsidRPr="0056154C">
              <w:t>“Criminalization of drug use is also a key impediment to the right to health. In States that criminalize drugs, users may avoid reaching out for health care or essential, sometimes lifesaving, information. They may legitimately fear that seeking help would end up resulting either in arrest or in treatment against their will.”</w:t>
            </w:r>
            <w:r w:rsidRPr="0056154C">
              <w:rPr>
                <w:vertAlign w:val="superscript"/>
              </w:rPr>
              <w:footnoteReference w:id="311"/>
            </w:r>
            <w:r w:rsidRPr="0056154C">
              <w:rPr>
                <w:vertAlign w:val="superscript"/>
              </w:rPr>
              <w:t xml:space="preserve"> </w:t>
            </w:r>
          </w:p>
          <w:p w14:paraId="3D90DC15" w14:textId="3426259E" w:rsidR="0056154C" w:rsidRPr="0056154C" w:rsidRDefault="0056154C" w:rsidP="0056154C">
            <w:pPr>
              <w:pStyle w:val="RTBodyText"/>
            </w:pPr>
            <w:r w:rsidRPr="0056154C">
              <w:t>The Special Rapporteur on the right to</w:t>
            </w:r>
            <w:r>
              <w:t xml:space="preserve"> the highest attainable standard of</w:t>
            </w:r>
            <w:r w:rsidRPr="0056154C">
              <w:t xml:space="preserve"> health has underlined this point, explaining that police crackdowns and other interventions associated with criminalization drive marginalized populations away from areas where they receive health and harm reduction services including medication-assisted treatment.</w:t>
            </w:r>
            <w:r w:rsidRPr="0056154C">
              <w:rPr>
                <w:vertAlign w:val="superscript"/>
              </w:rPr>
              <w:footnoteReference w:id="312"/>
            </w:r>
          </w:p>
          <w:p w14:paraId="7957EEC3" w14:textId="77777777" w:rsidR="0056154C" w:rsidRPr="0056154C" w:rsidRDefault="0056154C" w:rsidP="0056154C">
            <w:pPr>
              <w:pStyle w:val="RTBodyText"/>
            </w:pPr>
            <w:r w:rsidRPr="0056154C">
              <w:t>The right to the highest attainable standard of health seeks to “ensure access to quality health facilities, goods and services without discrimination, including on the grounds of physical or mental disability, or health status.”</w:t>
            </w:r>
            <w:r w:rsidRPr="0056154C">
              <w:rPr>
                <w:vertAlign w:val="superscript"/>
              </w:rPr>
              <w:footnoteReference w:id="313"/>
            </w:r>
            <w:r w:rsidRPr="0056154C">
              <w:t xml:space="preserve"> “As such, an individual’s use of drugs cannot constitute grounds for curtailing her/his rights, irrespective of whether she or he has a recognized dependence syndrome or whether the applicable drug control regime allows for imprisonment or other sanctions.”</w:t>
            </w:r>
            <w:r w:rsidRPr="0056154C">
              <w:rPr>
                <w:vertAlign w:val="superscript"/>
              </w:rPr>
              <w:footnoteReference w:id="314"/>
            </w:r>
          </w:p>
          <w:p w14:paraId="3D6FA693" w14:textId="77777777" w:rsidR="0056154C" w:rsidRPr="0056154C" w:rsidRDefault="0056154C" w:rsidP="0056154C">
            <w:pPr>
              <w:pStyle w:val="RTBodyText"/>
            </w:pPr>
            <w:r w:rsidRPr="0056154C">
              <w:t xml:space="preserve">Several other human rights mechanisms and UN agencies have recommended that states consider </w:t>
            </w:r>
            <w:r w:rsidRPr="0056154C">
              <w:rPr>
                <w:lang w:val="en-US"/>
              </w:rPr>
              <w:t>the decriminalization of certain drug-related conduct, in particular drug use and possession for personal consumption, as a means of protecting public health and human rights</w:t>
            </w:r>
            <w:r w:rsidRPr="0056154C">
              <w:t>.</w:t>
            </w:r>
            <w:r w:rsidRPr="0056154C">
              <w:rPr>
                <w:vertAlign w:val="superscript"/>
              </w:rPr>
              <w:footnoteReference w:id="315"/>
            </w:r>
            <w:r w:rsidRPr="0056154C">
              <w:t xml:space="preserve"> The WHO and UNAIDS have recommended decriminalizing drug use as a means of removing barriers to essential health services. “Without protective policies and efforts to decriminalize the behaviour of key populations, barrier to essential health services will remain.”</w:t>
            </w:r>
            <w:r w:rsidRPr="0056154C">
              <w:rPr>
                <w:vertAlign w:val="superscript"/>
              </w:rPr>
              <w:footnoteReference w:id="316"/>
            </w:r>
          </w:p>
          <w:p w14:paraId="7F56396E" w14:textId="77777777" w:rsidR="0056154C" w:rsidRPr="0056154C" w:rsidRDefault="0056154C" w:rsidP="0056154C">
            <w:pPr>
              <w:pStyle w:val="RTBodyText"/>
            </w:pPr>
            <w:r w:rsidRPr="0056154C">
              <w:lastRenderedPageBreak/>
              <w:t>As the former UN High Commissioner for Human Rights has observed:</w:t>
            </w:r>
          </w:p>
          <w:p w14:paraId="3C9B0C7A" w14:textId="5C5469CB" w:rsidR="0056154C" w:rsidRPr="00C06C22" w:rsidRDefault="0056154C" w:rsidP="0056154C">
            <w:pPr>
              <w:pStyle w:val="RTBodyText"/>
            </w:pPr>
            <w:r w:rsidRPr="0056154C">
              <w:rPr>
                <w:lang w:val="en-US"/>
              </w:rPr>
              <w:t>“Too often, drug users suffer discrimination, are forced to accept treatment, marginalized and often harmed by approaches which over-emphasize criminalization and punishment while under-emphasizing harm</w:t>
            </w:r>
            <w:r w:rsidR="00B1230E">
              <w:rPr>
                <w:lang w:val="en-US"/>
              </w:rPr>
              <w:t xml:space="preserve"> reduction and respect for human rights</w:t>
            </w:r>
            <w:r>
              <w:rPr>
                <w:lang w:val="en-US"/>
              </w:rPr>
              <w:t>.”</w:t>
            </w:r>
            <w:r w:rsidRPr="00416931">
              <w:rPr>
                <w:rFonts w:eastAsia="Times New Roman" w:cstheme="minorBidi"/>
                <w:color w:val="000000"/>
                <w:vertAlign w:val="superscript"/>
                <w:lang w:eastAsia="ar-SA"/>
              </w:rPr>
              <w:footnoteReference w:id="317"/>
            </w:r>
          </w:p>
        </w:tc>
      </w:tr>
    </w:tbl>
    <w:p w14:paraId="4B4343C9" w14:textId="1451F58B" w:rsidR="0056154C" w:rsidRPr="0056154C" w:rsidRDefault="00B1230E" w:rsidP="00B1230E">
      <w:pPr>
        <w:pStyle w:val="RTNumberedHeading"/>
      </w:pPr>
      <w:bookmarkStart w:id="51" w:name="_Toc482741449"/>
      <w:r>
        <w:lastRenderedPageBreak/>
        <w:t>Right to privacy</w:t>
      </w:r>
      <w:bookmarkEnd w:id="51"/>
    </w:p>
    <w:p w14:paraId="460D3492" w14:textId="441FE045" w:rsidR="00B1230E" w:rsidRPr="00B1230E" w:rsidRDefault="004E05CC" w:rsidP="00B1230E">
      <w:pPr>
        <w:pStyle w:val="RTBodyText"/>
      </w:pPr>
      <w:r w:rsidRPr="00B1230E">
        <w:rPr>
          <w:lang w:val="en-US"/>
        </w:rPr>
        <w:t xml:space="preserve">To respect privacy and confidentiality, health facilities must be respectful of medical ethics, sensitive to gender and designed to improve the health status of those concerned. </w:t>
      </w:r>
      <w:r w:rsidR="00B1230E" w:rsidRPr="00B1230E">
        <w:t>Article 17(1) of the ICCPR specifically recognizes the right to privacy stating that: “No one shall be subjected to arbitrary interference with his privacy, family, home or correspondence.”</w:t>
      </w:r>
      <w:r w:rsidR="00B1230E" w:rsidRPr="00B1230E">
        <w:rPr>
          <w:vertAlign w:val="superscript"/>
          <w:lang w:val="en-US"/>
        </w:rPr>
        <w:footnoteReference w:id="318"/>
      </w:r>
      <w:r w:rsidR="00B1230E" w:rsidRPr="00B1230E">
        <w:rPr>
          <w:lang w:val="en-US"/>
        </w:rPr>
        <w:t xml:space="preserve"> The UN Committee on Economic, Social and Cultural Rights has also emphasized the need to respect privacy and confidentiality in healthcare settings as part of the right to health under the ICESCR,</w:t>
      </w:r>
      <w:r w:rsidR="00B1230E" w:rsidRPr="00B1230E">
        <w:rPr>
          <w:vertAlign w:val="superscript"/>
          <w:lang w:val="en-US"/>
        </w:rPr>
        <w:footnoteReference w:id="319"/>
      </w:r>
      <w:r w:rsidR="00B1230E" w:rsidRPr="00B1230E">
        <w:rPr>
          <w:lang w:val="en-US"/>
        </w:rPr>
        <w:t xml:space="preserve"> as does the non-binding international expert declaration, the World Medical Association (WMA) Declaration on the Rights of the Patient.</w:t>
      </w:r>
      <w:r w:rsidR="00B1230E" w:rsidRPr="00B1230E">
        <w:rPr>
          <w:vertAlign w:val="superscript"/>
          <w:lang w:val="en-US"/>
        </w:rPr>
        <w:footnoteReference w:id="320"/>
      </w:r>
      <w:r w:rsidR="00B1230E" w:rsidRPr="00B1230E">
        <w:rPr>
          <w:lang w:val="en-US"/>
        </w:rPr>
        <w:t xml:space="preserve"> </w:t>
      </w:r>
    </w:p>
    <w:p w14:paraId="03A696F1" w14:textId="10027D2B" w:rsidR="00B1230E" w:rsidRPr="00B1230E" w:rsidRDefault="00B1230E" w:rsidP="00B1230E">
      <w:pPr>
        <w:pStyle w:val="RTBodyText"/>
      </w:pPr>
      <w:r w:rsidRPr="00B1230E">
        <w:t xml:space="preserve">Limitations on individuals’ human rights, including interference with regard to the right to privacy, </w:t>
      </w:r>
      <w:proofErr w:type="gramStart"/>
      <w:r w:rsidRPr="00B1230E">
        <w:t>may</w:t>
      </w:r>
      <w:proofErr w:type="gramEnd"/>
      <w:r w:rsidRPr="00B1230E">
        <w:t xml:space="preserve"> only be permitted if it is necessary and proportionate to a legitimate aim.</w:t>
      </w:r>
      <w:r w:rsidRPr="00B1230E">
        <w:rPr>
          <w:vertAlign w:val="superscript"/>
        </w:rPr>
        <w:footnoteReference w:id="321"/>
      </w:r>
      <w:r w:rsidRPr="00B1230E">
        <w:t xml:space="preserve"> While a state’s aim to promote maternal and </w:t>
      </w:r>
      <w:proofErr w:type="spellStart"/>
      <w:r w:rsidRPr="00B1230E">
        <w:t>newborn</w:t>
      </w:r>
      <w:proofErr w:type="spellEnd"/>
      <w:r w:rsidRPr="00B1230E">
        <w:t xml:space="preserve"> health is legitimate, punishing pregnant women for actual or suspected drug use is not a proportionate response or necessary to meet those aims. The right to found a family and to be free from unlawful interference in family life as protected by Article 23 of ICCPR is also at stake as</w:t>
      </w:r>
      <w:r w:rsidRPr="00B1230E">
        <w:rPr>
          <w:lang w:val="en-US"/>
        </w:rPr>
        <w:t xml:space="preserve"> criminal justice approaches can fracture families and separate children from their parents or caregivers without necessarily demonstrating that doing so is in the best interest of the child.</w:t>
      </w:r>
    </w:p>
    <w:p w14:paraId="28F93D1F" w14:textId="341F9597" w:rsidR="00B1230E" w:rsidRPr="00B1230E" w:rsidRDefault="00B1230E" w:rsidP="00B1230E">
      <w:pPr>
        <w:pStyle w:val="RTBodyText"/>
      </w:pPr>
      <w:r w:rsidRPr="00B1230E">
        <w:t xml:space="preserve">The Tennessee and Alabama laws reviewed in this report are neither proportionate nor necessary. </w:t>
      </w:r>
      <w:r w:rsidR="0055523D">
        <w:t>T</w:t>
      </w:r>
      <w:r w:rsidRPr="00B1230E">
        <w:t>here are other more effective means that states can undertake to support pregnant women, such as providing high quality, comprehensive sexual and reproductive healthcare services, drug dependence treatment, health education and social support. As such, it is not necessary, and is in fact counter-productive for the government to resort to punishing pregnant women. This type of punitive and disproportionate legal approach can lead to incarceration, family disruption and imposition of longstanding criminal records, which will severely impact women’s ability to earn a livelihood and maintain housing down the line</w:t>
      </w:r>
      <w:r w:rsidR="0055523D">
        <w:t xml:space="preserve"> – </w:t>
      </w:r>
      <w:r w:rsidRPr="00B1230E">
        <w:t xml:space="preserve">all of which can be </w:t>
      </w:r>
      <w:r w:rsidR="0055523D">
        <w:t xml:space="preserve">counterproductive </w:t>
      </w:r>
      <w:r w:rsidRPr="00B1230E">
        <w:t xml:space="preserve">in terms </w:t>
      </w:r>
      <w:r w:rsidR="0055523D">
        <w:t xml:space="preserve">of </w:t>
      </w:r>
      <w:r w:rsidRPr="00B1230E">
        <w:t>promoting health and reducing harm and drug use.</w:t>
      </w:r>
      <w:r w:rsidRPr="00B1230E">
        <w:rPr>
          <w:vertAlign w:val="superscript"/>
        </w:rPr>
        <w:footnoteReference w:id="322"/>
      </w:r>
      <w:r w:rsidRPr="00B1230E">
        <w:t xml:space="preserve">  </w:t>
      </w:r>
    </w:p>
    <w:p w14:paraId="7CAA901F" w14:textId="6A38F307" w:rsidR="00B1230E" w:rsidRPr="00B1230E" w:rsidRDefault="00B1230E" w:rsidP="00B1230E">
      <w:pPr>
        <w:pStyle w:val="RTBodyText"/>
      </w:pPr>
      <w:r w:rsidRPr="00B1230E">
        <w:t xml:space="preserve">Beyond the fact that criminal drug laws can implicate pregnant women’s right to privacy, specific measures used to enforce such laws and policies can further result in privacy rights violations in </w:t>
      </w:r>
      <w:r w:rsidR="00CF7C14">
        <w:t>healthcare</w:t>
      </w:r>
      <w:r w:rsidRPr="00B1230E">
        <w:t xml:space="preserve"> contexts. </w:t>
      </w:r>
      <w:r w:rsidR="0055523D">
        <w:t>A</w:t>
      </w:r>
      <w:r w:rsidRPr="00B1230E">
        <w:t xml:space="preserve">s referenced earlier, both conducting drug tests and sharing the results of those tests and/or one’s drug history with law enforcement without informed consent violates the right to privacy. </w:t>
      </w:r>
    </w:p>
    <w:p w14:paraId="3667E881" w14:textId="5BDC2FA2" w:rsidR="00B1230E" w:rsidRPr="00B1230E" w:rsidRDefault="00B1230E" w:rsidP="00B1230E">
      <w:pPr>
        <w:pStyle w:val="RTBodyText"/>
      </w:pPr>
      <w:r w:rsidRPr="00B1230E">
        <w:t>The right to confidentiality of medical records is firmly grounded in the right to privacy, as contained in Article 17 of the ICCPR. While this treaty does not specifically address confidentiality of medical records, the Human Rights Committee has confirmed in its General Comment 16 that “[e]</w:t>
      </w:r>
      <w:proofErr w:type="spellStart"/>
      <w:r w:rsidRPr="00B1230E">
        <w:t>ffective</w:t>
      </w:r>
      <w:proofErr w:type="spellEnd"/>
      <w:r w:rsidRPr="00B1230E">
        <w:t xml:space="preserve"> measures have to be taken by States to ensure that information concerning a person’s private life does not reach the hands of persons who are not authorized by law to receive, process and use it, and is never used for purposes incompatible with the Covenant.”</w:t>
      </w:r>
      <w:r w:rsidRPr="00B1230E">
        <w:rPr>
          <w:vertAlign w:val="superscript"/>
        </w:rPr>
        <w:footnoteReference w:id="323"/>
      </w:r>
      <w:r w:rsidRPr="00B1230E">
        <w:t xml:space="preserve"> While drug test results conducted in Tennessee and Alabama might be shared with law enforcement in accordance with law or policy, this type of interference with the right to privacy is disproportionate. In other words, human rights safeguards remain regardless of whether a state has passed a </w:t>
      </w:r>
      <w:r w:rsidRPr="00B1230E">
        <w:lastRenderedPageBreak/>
        <w:t>law which allows a positive drug test to be used as evidence of a crime. Using positive drug tests, particularly compulsory drug tests taken without patients’ informed consent, to potentially launch investigations which may result in incarceration and coerced treatment, constitute disproportionate interference with the right to privacy. Such limitations on the right to privacy can only be justified as temporary measures in exceptional circumstances and with participation, transparency, and accountability.</w:t>
      </w:r>
      <w:r w:rsidRPr="00B1230E">
        <w:rPr>
          <w:vertAlign w:val="superscript"/>
        </w:rPr>
        <w:footnoteReference w:id="324"/>
      </w:r>
      <w:r w:rsidRPr="00B1230E">
        <w:t xml:space="preserve">  Additionally, drug test disclosure cannot be discriminatory and/or result in discrimination.</w:t>
      </w:r>
      <w:r w:rsidRPr="00B1230E">
        <w:rPr>
          <w:vertAlign w:val="superscript"/>
        </w:rPr>
        <w:footnoteReference w:id="325"/>
      </w:r>
      <w:r w:rsidRPr="00B1230E">
        <w:t xml:space="preserve"> </w:t>
      </w:r>
    </w:p>
    <w:p w14:paraId="4B4F5E6D" w14:textId="750CEE86" w:rsidR="00B1230E" w:rsidRDefault="00B1230E" w:rsidP="00B1230E">
      <w:pPr>
        <w:pStyle w:val="RTBodyText"/>
      </w:pPr>
      <w:r w:rsidRPr="00B1230E">
        <w:t>Beyond privacy rights-related concerns, mandatory reporting requirements can also impose a “dual loyalty” or “simultaneous obligation to a patient and a third party”</w:t>
      </w:r>
      <w:r w:rsidRPr="00B1230E">
        <w:rPr>
          <w:vertAlign w:val="superscript"/>
        </w:rPr>
        <w:footnoteReference w:id="326"/>
      </w:r>
      <w:r w:rsidRPr="00B1230E">
        <w:t xml:space="preserve"> (including law enforcement and/or social service providers) on </w:t>
      </w:r>
      <w:r w:rsidR="00CF7C14">
        <w:t>healthcare</w:t>
      </w:r>
      <w:r w:rsidRPr="00B1230E">
        <w:t xml:space="preserve"> providers. “Dual loyalty poses particular challenges for health professionals throughout the world as the subordination of the patient’s interests to state or other purposes risks violating the patient’s human rights.”</w:t>
      </w:r>
      <w:r w:rsidRPr="00B1230E">
        <w:rPr>
          <w:vertAlign w:val="superscript"/>
        </w:rPr>
        <w:footnoteReference w:id="327"/>
      </w:r>
      <w:r w:rsidRPr="00B1230E">
        <w:t xml:space="preserve"> While doctors owe “complete loyalty” to patients according to the World Medical Association’s International Code of Medical Ethics,</w:t>
      </w:r>
      <w:r w:rsidRPr="00B1230E">
        <w:rPr>
          <w:vertAlign w:val="superscript"/>
        </w:rPr>
        <w:footnoteReference w:id="328"/>
      </w:r>
      <w:r w:rsidRPr="00B1230E">
        <w:t xml:space="preserve"> in practice, additional obligations are imposed on medical providers by family members, employers, insurance companies and state governments, which often conflict with their loyalty to patients.</w:t>
      </w:r>
      <w:r w:rsidRPr="00B1230E">
        <w:rPr>
          <w:vertAlign w:val="superscript"/>
        </w:rPr>
        <w:footnoteReference w:id="329"/>
      </w:r>
      <w:r w:rsidRPr="00B1230E">
        <w:t xml:space="preserve"> In one noteworthy case, the US Supreme Court found that a South Carolina state hospital’s performance of drug tests to obtain evidence of a patient’s drug use for law enforcement purposes was unconstitutional.</w:t>
      </w:r>
      <w:r w:rsidRPr="00B1230E">
        <w:rPr>
          <w:vertAlign w:val="superscript"/>
        </w:rPr>
        <w:footnoteReference w:id="330"/>
      </w:r>
      <w:r w:rsidRPr="00B1230E">
        <w:t xml:space="preserve"> Healthcare professionals often lack clear guidance on how to evaluate situations where dual loyalty may violate a person’s human rights and how to implement appropriate responses that respect human rights.</w:t>
      </w:r>
      <w:r w:rsidRPr="00B1230E">
        <w:rPr>
          <w:vertAlign w:val="superscript"/>
        </w:rPr>
        <w:footnoteReference w:id="331"/>
      </w:r>
      <w:r w:rsidRPr="00B1230E">
        <w:t xml:space="preserve"> </w:t>
      </w:r>
    </w:p>
    <w:p w14:paraId="2550AEDD" w14:textId="75F929BC" w:rsidR="00C33F84" w:rsidRDefault="00B1230E" w:rsidP="00C33F84">
      <w:pPr>
        <w:pStyle w:val="RTNumberedSubheading"/>
      </w:pPr>
      <w:bookmarkStart w:id="52" w:name="_Toc482741450"/>
      <w:r w:rsidRPr="00B1230E">
        <w:t>Confidentiality in healthcare contexts</w:t>
      </w:r>
      <w:bookmarkEnd w:id="52"/>
    </w:p>
    <w:p w14:paraId="61C1B526" w14:textId="0C278A83" w:rsidR="00C33F84" w:rsidRPr="00C33F84" w:rsidRDefault="00C33F84" w:rsidP="00C33F84">
      <w:pPr>
        <w:pStyle w:val="RTBodyText"/>
        <w:rPr>
          <w:lang w:eastAsia="en-GB"/>
        </w:rPr>
      </w:pPr>
      <w:r w:rsidRPr="00C33F84">
        <w:rPr>
          <w:lang w:eastAsia="en-GB"/>
        </w:rPr>
        <w:t>Privacy and specifically medical confidentiality are key components of the right to health. The UN CESCR Committee has confirmed that: “All health facilities, goods and services must be… designed to respect confidentiality.”</w:t>
      </w:r>
      <w:r w:rsidRPr="00C33F84">
        <w:rPr>
          <w:vertAlign w:val="superscript"/>
          <w:lang w:eastAsia="en-GB"/>
        </w:rPr>
        <w:footnoteReference w:id="332"/>
      </w:r>
      <w:r w:rsidRPr="00C33F84">
        <w:rPr>
          <w:lang w:eastAsia="en-GB"/>
        </w:rPr>
        <w:t xml:space="preserve"> However, in 18 states in the USA, healthcare providers are required to report to child welfare authorities when they suspect a pregnant woman is dependent on drugs.</w:t>
      </w:r>
      <w:r w:rsidRPr="00C33F84">
        <w:rPr>
          <w:vertAlign w:val="superscript"/>
          <w:lang w:eastAsia="en-GB"/>
        </w:rPr>
        <w:footnoteReference w:id="333"/>
      </w:r>
      <w:r w:rsidRPr="00C33F84">
        <w:rPr>
          <w:lang w:eastAsia="en-GB"/>
        </w:rPr>
        <w:t xml:space="preserve"> This approach directly implicates patients’ right to medical confidentiality, as well as impacts the medical provider-patient relationship</w:t>
      </w:r>
      <w:r w:rsidR="00856BF0">
        <w:rPr>
          <w:lang w:eastAsia="en-GB"/>
        </w:rPr>
        <w:t xml:space="preserve"> – </w:t>
      </w:r>
      <w:r w:rsidRPr="00C33F84">
        <w:rPr>
          <w:lang w:eastAsia="en-GB"/>
        </w:rPr>
        <w:t xml:space="preserve">both of which can have adverse consequences on pregnant women’s right to health and maternal and </w:t>
      </w:r>
      <w:proofErr w:type="spellStart"/>
      <w:r w:rsidRPr="00C33F84">
        <w:rPr>
          <w:lang w:eastAsia="en-GB"/>
        </w:rPr>
        <w:t>fetal</w:t>
      </w:r>
      <w:proofErr w:type="spellEnd"/>
      <w:r w:rsidRPr="00C33F84">
        <w:rPr>
          <w:lang w:eastAsia="en-GB"/>
        </w:rPr>
        <w:t xml:space="preserve"> health more broadly. </w:t>
      </w:r>
    </w:p>
    <w:p w14:paraId="5F4F63A5" w14:textId="7C296C9D" w:rsidR="00C33F84" w:rsidRPr="00C33F84" w:rsidRDefault="00C33F84" w:rsidP="00C33F84">
      <w:pPr>
        <w:pStyle w:val="RTBodyText"/>
        <w:rPr>
          <w:lang w:eastAsia="en-GB"/>
        </w:rPr>
      </w:pPr>
      <w:r w:rsidRPr="00C33F84">
        <w:rPr>
          <w:lang w:eastAsia="en-GB"/>
        </w:rPr>
        <w:t>The UN CEDAW Committee has confirmed that: “While lack of respect for the confidentiality of patients will affect both men and women, it may deter women from seeking advice and treatment and thereby adversely affect their health and wellbeing.”</w:t>
      </w:r>
      <w:r w:rsidRPr="00C33F84">
        <w:rPr>
          <w:vertAlign w:val="superscript"/>
          <w:lang w:eastAsia="en-GB"/>
        </w:rPr>
        <w:footnoteReference w:id="334"/>
      </w:r>
      <w:r w:rsidRPr="00C33F84">
        <w:rPr>
          <w:lang w:eastAsia="en-GB"/>
        </w:rPr>
        <w:t xml:space="preserve"> This is particularly true for marginalized and under-served groups who already face barriers to accessing and adhering to necessary services and treatment. The UN Working Group on Discrimination against Women has stressed the importance of the rights to informed consent and confidentiality to ensuring that women can make decisions freely</w:t>
      </w:r>
      <w:r w:rsidR="005F3E6D">
        <w:rPr>
          <w:lang w:eastAsia="en-GB"/>
        </w:rPr>
        <w:t xml:space="preserve"> and autonomously as competent individuals</w:t>
      </w:r>
      <w:r w:rsidRPr="00C33F84">
        <w:rPr>
          <w:lang w:eastAsia="en-GB"/>
        </w:rPr>
        <w:t>.</w:t>
      </w:r>
      <w:r w:rsidRPr="00C33F84">
        <w:rPr>
          <w:vertAlign w:val="superscript"/>
          <w:lang w:eastAsia="en-GB"/>
        </w:rPr>
        <w:footnoteReference w:id="335"/>
      </w:r>
    </w:p>
    <w:p w14:paraId="03AE9FEA" w14:textId="77777777" w:rsidR="00C33F84" w:rsidRPr="00C33F84" w:rsidRDefault="00C33F84" w:rsidP="00C33F84">
      <w:pPr>
        <w:pStyle w:val="RTBodyText"/>
        <w:rPr>
          <w:lang w:eastAsia="en-GB"/>
        </w:rPr>
      </w:pPr>
      <w:r w:rsidRPr="00C33F84">
        <w:rPr>
          <w:lang w:eastAsia="en-GB"/>
        </w:rPr>
        <w:t>Similarly, the UN Special Rapporteur on the Right to Health found that “a lack of confidentiality may deter individuals from seeking advice and treatment, thereby jeopardizing their health and well-being. Thus States are obliged to take effective measures to ensure medical confidentiality and privacy.”</w:t>
      </w:r>
      <w:r w:rsidRPr="00C33F84">
        <w:rPr>
          <w:vertAlign w:val="superscript"/>
          <w:lang w:eastAsia="en-GB"/>
        </w:rPr>
        <w:footnoteReference w:id="336"/>
      </w:r>
    </w:p>
    <w:p w14:paraId="5D3987DB" w14:textId="55B86659" w:rsidR="00C33F84" w:rsidRPr="00C33F84" w:rsidRDefault="00C33F84" w:rsidP="00C33F84">
      <w:pPr>
        <w:pStyle w:val="RTBodyText"/>
        <w:rPr>
          <w:lang w:eastAsia="en-GB"/>
        </w:rPr>
      </w:pPr>
      <w:r w:rsidRPr="00C33F84">
        <w:rPr>
          <w:lang w:eastAsia="en-GB"/>
        </w:rPr>
        <w:lastRenderedPageBreak/>
        <w:t>The Inter-American Commission on Human Rights has also emphasized this point. Because issues related to sexuality and reproduction can be extremely sensitive, the fear that confidentiality will not be respected can deter women from seeking needed medical care.</w:t>
      </w:r>
      <w:r w:rsidRPr="00C33F84">
        <w:rPr>
          <w:vertAlign w:val="superscript"/>
          <w:lang w:eastAsia="en-GB"/>
        </w:rPr>
        <w:footnoteReference w:id="337"/>
      </w:r>
      <w:r w:rsidRPr="00C33F84">
        <w:rPr>
          <w:lang w:eastAsia="en-GB"/>
        </w:rPr>
        <w:t xml:space="preserve"> If an environment is safe and trusting, then a patient will more likely provide the medical professional with the information needed for effective diagnosis and treatment.</w:t>
      </w:r>
      <w:r w:rsidRPr="00C33F84">
        <w:rPr>
          <w:vertAlign w:val="superscript"/>
          <w:lang w:eastAsia="en-GB"/>
        </w:rPr>
        <w:footnoteReference w:id="338"/>
      </w:r>
      <w:r w:rsidRPr="00C33F84">
        <w:rPr>
          <w:lang w:eastAsia="en-GB"/>
        </w:rPr>
        <w:t xml:space="preserve"> The C</w:t>
      </w:r>
      <w:r w:rsidR="00856BF0">
        <w:rPr>
          <w:lang w:eastAsia="en-GB"/>
        </w:rPr>
        <w:t xml:space="preserve">ommission </w:t>
      </w:r>
      <w:r w:rsidRPr="00C33F84">
        <w:rPr>
          <w:lang w:eastAsia="en-GB"/>
        </w:rPr>
        <w:t>has considered that physicians have “a right and an obligation to protect the confidentiality of the information” which they have access.</w:t>
      </w:r>
      <w:r w:rsidRPr="00C33F84">
        <w:rPr>
          <w:vertAlign w:val="superscript"/>
          <w:lang w:eastAsia="en-GB"/>
        </w:rPr>
        <w:footnoteReference w:id="339"/>
      </w:r>
      <w:r w:rsidRPr="00C33F84">
        <w:rPr>
          <w:lang w:eastAsia="en-GB"/>
        </w:rPr>
        <w:t xml:space="preserve"> </w:t>
      </w:r>
    </w:p>
    <w:p w14:paraId="031DD113" w14:textId="77C4C877" w:rsidR="00C33F84" w:rsidRPr="00C33F84" w:rsidRDefault="00C33F84" w:rsidP="00C33F84">
      <w:pPr>
        <w:pStyle w:val="RTNumberedHeading"/>
      </w:pPr>
      <w:bookmarkStart w:id="53" w:name="_Toc482741451"/>
      <w:r w:rsidRPr="00C33F84">
        <w:t>Right to a fair trial</w:t>
      </w:r>
      <w:bookmarkEnd w:id="53"/>
    </w:p>
    <w:p w14:paraId="1C61F452" w14:textId="011B8B52" w:rsidR="00C33F84" w:rsidRPr="00C33F84" w:rsidRDefault="00856BF0" w:rsidP="00C33F84">
      <w:pPr>
        <w:pStyle w:val="RTBodyText"/>
      </w:pPr>
      <w:r>
        <w:t xml:space="preserve">Concerns regarding </w:t>
      </w:r>
      <w:r w:rsidR="006E2757">
        <w:t xml:space="preserve">the right to a </w:t>
      </w:r>
      <w:r>
        <w:t>f</w:t>
      </w:r>
      <w:r w:rsidR="00C33F84" w:rsidRPr="00C33F84">
        <w:t>air trial also emerged in Amnesty International’s research</w:t>
      </w:r>
      <w:r>
        <w:t xml:space="preserve"> for this report</w:t>
      </w:r>
      <w:r w:rsidR="00C33F84" w:rsidRPr="00C33F84">
        <w:t>.</w:t>
      </w:r>
      <w:r>
        <w:t xml:space="preserve"> M</w:t>
      </w:r>
      <w:r w:rsidR="00C33F84" w:rsidRPr="00C33F84">
        <w:t>any of the women, law enforcement and social service providers interviewed discussed the impact of drug courts on the rights, lives and health outcomes of women punished under Tennessee’s and Alabama’s pregnancy criminalization laws. Drug courts raise a range of human rights issues, including with regard to the right to a fa</w:t>
      </w:r>
      <w:r w:rsidR="00F54248">
        <w:t>ir trial and to health.</w:t>
      </w:r>
    </w:p>
    <w:p w14:paraId="74E6C108" w14:textId="6D881A23" w:rsidR="00C33F84" w:rsidRPr="00C33F84" w:rsidRDefault="00C33F84" w:rsidP="00C33F84">
      <w:pPr>
        <w:pStyle w:val="RTBodyText"/>
      </w:pPr>
      <w:r w:rsidRPr="00C33F84">
        <w:t>The right to a fair trial is one of the universally applicable guarantees recognized in the Universal Declaration of Human Rights. Th</w:t>
      </w:r>
      <w:r w:rsidR="00856BF0">
        <w:t xml:space="preserve">is </w:t>
      </w:r>
      <w:r w:rsidRPr="00C33F84">
        <w:t>right has since become legally binding on all states as part of customary international law.</w:t>
      </w:r>
      <w:r w:rsidRPr="00C33F84">
        <w:rPr>
          <w:vertAlign w:val="superscript"/>
        </w:rPr>
        <w:footnoteReference w:id="340"/>
      </w:r>
      <w:r w:rsidRPr="00C33F84">
        <w:t xml:space="preserve"> The right to a fair trial has been reaffirmed and elaborated in legally binding treaties such as ICCPR.</w:t>
      </w:r>
      <w:r w:rsidRPr="00C33F84">
        <w:rPr>
          <w:vertAlign w:val="superscript"/>
        </w:rPr>
        <w:footnoteReference w:id="341"/>
      </w:r>
      <w:r w:rsidRPr="00C33F84">
        <w:t xml:space="preserve"> It has been recognized and component parts (constituent rights) have been set out in numerous other international and regional treaties</w:t>
      </w:r>
      <w:r w:rsidRPr="00C33F84">
        <w:rPr>
          <w:vertAlign w:val="superscript"/>
        </w:rPr>
        <w:footnoteReference w:id="342"/>
      </w:r>
      <w:r w:rsidRPr="00C33F84">
        <w:t xml:space="preserve"> as well as non-treaty standards adopted by the UN and by regional intergovernmental bodies.</w:t>
      </w:r>
      <w:r w:rsidRPr="00C33F84">
        <w:rPr>
          <w:vertAlign w:val="superscript"/>
        </w:rPr>
        <w:footnoteReference w:id="343"/>
      </w:r>
      <w:r w:rsidRPr="00C33F84">
        <w:t xml:space="preserve"> These human rights standards apply to investigations, arrests and detention</w:t>
      </w:r>
      <w:r w:rsidR="00856BF0">
        <w:t xml:space="preserve"> </w:t>
      </w:r>
      <w:r w:rsidRPr="00C33F84">
        <w:t xml:space="preserve">as well as throughout the pre-trial proceedings, trial, appeal, sentencing and punishment. </w:t>
      </w:r>
    </w:p>
    <w:p w14:paraId="5388488A" w14:textId="195F9B57" w:rsidR="00C33F84" w:rsidRPr="00C33F84" w:rsidRDefault="00C33F84" w:rsidP="00C33F84">
      <w:pPr>
        <w:pStyle w:val="RTBodyText"/>
      </w:pPr>
      <w:r w:rsidRPr="00C33F84">
        <w:t xml:space="preserve">Despite some amount of international support for drug courts, there is some research which identifies human rights concerns regarding </w:t>
      </w:r>
      <w:r w:rsidR="003558BA">
        <w:t xml:space="preserve">these </w:t>
      </w:r>
      <w:r w:rsidRPr="00C33F84">
        <w:t>courts.</w:t>
      </w:r>
      <w:r w:rsidRPr="00C33F84">
        <w:rPr>
          <w:vertAlign w:val="superscript"/>
        </w:rPr>
        <w:footnoteReference w:id="344"/>
      </w:r>
      <w:r w:rsidRPr="00C33F84">
        <w:t xml:space="preserve"> For example, some research indicates that drug courts may afford fewer fair trial protections than ordinary courts.</w:t>
      </w:r>
      <w:r w:rsidRPr="00C33F84">
        <w:rPr>
          <w:vertAlign w:val="superscript"/>
        </w:rPr>
        <w:footnoteReference w:id="345"/>
      </w:r>
      <w:r w:rsidRPr="00C33F84">
        <w:t xml:space="preserve">  Special or specialized courts are also required to be competent, independent and impartial.</w:t>
      </w:r>
      <w:r w:rsidRPr="00C33F84">
        <w:rPr>
          <w:vertAlign w:val="superscript"/>
        </w:rPr>
        <w:footnoteReference w:id="346"/>
      </w:r>
      <w:r w:rsidRPr="00C33F84">
        <w:t xml:space="preserve"> Along these lines, fair trial guarantees enshrined in international law and standards apply equally to criminal proceedings in all courts, including drug courts.</w:t>
      </w:r>
      <w:r w:rsidRPr="00C33F84">
        <w:rPr>
          <w:vertAlign w:val="superscript"/>
        </w:rPr>
        <w:footnoteReference w:id="347"/>
      </w:r>
      <w:r w:rsidRPr="00C33F84">
        <w:t xml:space="preserve"> </w:t>
      </w:r>
    </w:p>
    <w:p w14:paraId="2E53C10F" w14:textId="77777777" w:rsidR="00C33F84" w:rsidRPr="00C33F84" w:rsidRDefault="00C33F84" w:rsidP="00C33F84">
      <w:pPr>
        <w:pStyle w:val="RTBodyText"/>
      </w:pPr>
      <w:r w:rsidRPr="00C33F84">
        <w:t>Analysis of the fairness of proceedings in a special or extraordinary court generally focuses on whether: the court is established by law; the jurisdiction of the court guarantees non-discrimination and equality; the judges are independent of the executive and other authorities; the judges are competent and impartial; and the procedures conform to international fair trial standards, including the right to appeal.</w:t>
      </w:r>
      <w:r w:rsidRPr="00C33F84">
        <w:rPr>
          <w:vertAlign w:val="superscript"/>
        </w:rPr>
        <w:footnoteReference w:id="348"/>
      </w:r>
    </w:p>
    <w:p w14:paraId="5E2217A4" w14:textId="03D71E5E" w:rsidR="00C33F84" w:rsidRPr="00C33F84" w:rsidRDefault="00C33F84" w:rsidP="00C33F84">
      <w:pPr>
        <w:pStyle w:val="RTBodyText"/>
      </w:pPr>
      <w:r w:rsidRPr="00C33F84">
        <w:t>A primary human rights concern around drug courts in the USA is the common requirement that an individual plead “guilty” to charges against them as a condition of the drug court diversion process and drug treatment. This is compounded by the fact that relapse is common for those dealing with drug dependency, as recognized by the Special Rapporteur on the right to health and other UN health guidelines.</w:t>
      </w:r>
      <w:r w:rsidRPr="00C33F84">
        <w:rPr>
          <w:vertAlign w:val="superscript"/>
        </w:rPr>
        <w:footnoteReference w:id="349"/>
      </w:r>
      <w:r w:rsidRPr="00C33F84">
        <w:t xml:space="preserve"> </w:t>
      </w:r>
      <w:proofErr w:type="gramStart"/>
      <w:r w:rsidRPr="00C33F84">
        <w:t>Relapsing,</w:t>
      </w:r>
      <w:proofErr w:type="gramEnd"/>
      <w:r w:rsidRPr="00C33F84">
        <w:t xml:space="preserve"> and thus violating </w:t>
      </w:r>
      <w:r w:rsidRPr="00C33F84">
        <w:lastRenderedPageBreak/>
        <w:t>the terms of drug court can then lead to people being returned to adversarial courts only to receive harsher sentences than if they had never been in the drug court. These outcomes implicate the right to not be compelled to incriminate oneself or to confess guilt and raises concerns about the presumption of innocence</w:t>
      </w:r>
      <w:r w:rsidR="003558BA">
        <w:t xml:space="preserve"> which </w:t>
      </w:r>
      <w:r w:rsidRPr="00C33F84">
        <w:t>is a fair trial guarantee that prohibits any form of coercion, whether direct or indirect, physical or psychological. It also prohibits the imposition of judicial sanctions to compel the accused to testify.</w:t>
      </w:r>
      <w:r w:rsidRPr="00C33F84">
        <w:rPr>
          <w:vertAlign w:val="superscript"/>
        </w:rPr>
        <w:footnoteReference w:id="350"/>
      </w:r>
    </w:p>
    <w:p w14:paraId="5CF1DB73" w14:textId="77777777" w:rsidR="00C33F84" w:rsidRPr="00C33F84" w:rsidRDefault="00C33F84" w:rsidP="00C33F84">
      <w:pPr>
        <w:pStyle w:val="RTBodyText"/>
      </w:pPr>
      <w:r w:rsidRPr="00C33F84">
        <w:t>The right to a fair trial also extends to how punishments are determined and what punishments may be imposed. Neither the punishment itself nor the manner in which it is imposed may violate international law and standards. Additionally, decisions on sentencing should be gender-sensitive, taking into account for example, a woman’s pregnancy or care responsibilities.</w:t>
      </w:r>
      <w:r w:rsidRPr="00C33F84">
        <w:rPr>
          <w:vertAlign w:val="superscript"/>
        </w:rPr>
        <w:footnoteReference w:id="351"/>
      </w:r>
      <w:r w:rsidRPr="00C33F84">
        <w:t xml:space="preserve"> Finally, groups with special needs, including women and people who use drugs, should have prompt access to legal aid and the tools necessary to claim their rights.</w:t>
      </w:r>
      <w:r w:rsidRPr="00C33F84">
        <w:rPr>
          <w:vertAlign w:val="superscript"/>
        </w:rPr>
        <w:footnoteReference w:id="352"/>
      </w:r>
      <w:r w:rsidRPr="00C33F84">
        <w:t xml:space="preserve"> </w:t>
      </w:r>
    </w:p>
    <w:p w14:paraId="457CA1B2" w14:textId="77777777" w:rsidR="00C33F84" w:rsidRPr="00C33F84" w:rsidRDefault="00C33F84" w:rsidP="00C33F84">
      <w:pPr>
        <w:pStyle w:val="RTBodyText"/>
      </w:pPr>
      <w:r w:rsidRPr="00C33F84">
        <w:t>A primary condition of drug courts is strict adherence to drug treatment. In some cases, such treatment requires complete abstinence from drug use. But, as referenced earlier, lapses in treatment compliance are a predictable feature of recovery from drug dependence, just as they are with other chronic conditions.</w:t>
      </w:r>
      <w:r w:rsidRPr="00C33F84">
        <w:rPr>
          <w:vertAlign w:val="superscript"/>
        </w:rPr>
        <w:footnoteReference w:id="353"/>
      </w:r>
      <w:r w:rsidRPr="00C33F84">
        <w:t xml:space="preserve"> </w:t>
      </w:r>
    </w:p>
    <w:p w14:paraId="5953F81D" w14:textId="3C399479" w:rsidR="00C33F84" w:rsidRPr="00C33F84" w:rsidRDefault="00C33F84" w:rsidP="00C33F84">
      <w:pPr>
        <w:pStyle w:val="RTBodyText"/>
      </w:pPr>
      <w:r w:rsidRPr="00C33F84">
        <w:t xml:space="preserve">In drug courts, the traditional role of the judge is altered, as the judge makes both treatment and punishment decisions. Judges, rather than trained </w:t>
      </w:r>
      <w:r w:rsidR="00CF7C14">
        <w:t>healthcare</w:t>
      </w:r>
      <w:r w:rsidRPr="00C33F84">
        <w:t xml:space="preserve"> providers, decide what type of treatment is mandated, for how long and whether medication-assisted treatment is acceptable.</w:t>
      </w:r>
      <w:r w:rsidRPr="00C33F84">
        <w:rPr>
          <w:vertAlign w:val="superscript"/>
        </w:rPr>
        <w:footnoteReference w:id="354"/>
      </w:r>
      <w:r w:rsidRPr="00C33F84">
        <w:t xml:space="preserve"> </w:t>
      </w:r>
      <w:r w:rsidR="003558BA">
        <w:t>W</w:t>
      </w:r>
      <w:r w:rsidRPr="00C33F84">
        <w:t>hen individuals relapse or otherwise fail to abstain from drugs, drug court judges are often required to impose</w:t>
      </w:r>
      <w:r w:rsidR="000D0B83">
        <w:t xml:space="preserve"> punishment, regardless of other indicators of wellbeing</w:t>
      </w:r>
      <w:r w:rsidRPr="00C33F84">
        <w:t>.</w:t>
      </w:r>
      <w:r w:rsidR="000D0B83">
        <w:t xml:space="preserve"> W</w:t>
      </w:r>
      <w:r w:rsidRPr="00C33F84">
        <w:t>hile drug courts have proliferated in the USA and been applauded as providing an alternative to prison,</w:t>
      </w:r>
      <w:r w:rsidRPr="00C33F84">
        <w:rPr>
          <w:vertAlign w:val="superscript"/>
        </w:rPr>
        <w:footnoteReference w:id="355"/>
      </w:r>
      <w:r w:rsidRPr="00C33F84">
        <w:t xml:space="preserve"> they also have the effect of undermining a range of human rights, in particular those related to the right to a fair trial and in the end may entangle a wider-range of people in criminal justice systems.  </w:t>
      </w:r>
    </w:p>
    <w:tbl>
      <w:tblPr>
        <w:tblStyle w:val="RTTintedPullout"/>
        <w:tblW w:w="8278" w:type="dxa"/>
        <w:tblLook w:val="04A0" w:firstRow="1" w:lastRow="0" w:firstColumn="1" w:lastColumn="0" w:noHBand="0" w:noVBand="1"/>
      </w:tblPr>
      <w:tblGrid>
        <w:gridCol w:w="8278"/>
      </w:tblGrid>
      <w:tr w:rsidR="00C33F84" w:rsidRPr="00C06C22" w14:paraId="42228BF1" w14:textId="77777777" w:rsidTr="00677EC2">
        <w:trPr>
          <w:trHeight w:val="614"/>
        </w:trPr>
        <w:tc>
          <w:tcPr>
            <w:tcW w:w="8272" w:type="dxa"/>
          </w:tcPr>
          <w:p w14:paraId="6150E2E4" w14:textId="2E9506C4" w:rsidR="00C33F84" w:rsidRPr="00C33F84" w:rsidRDefault="00C33F84" w:rsidP="00C33F84">
            <w:pPr>
              <w:pStyle w:val="RTSmallheadingCAPS"/>
            </w:pPr>
            <w:r w:rsidRPr="00C33F84">
              <w:lastRenderedPageBreak/>
              <w:t>Human Rights Principles Limiting the use of Criminal Law</w:t>
            </w:r>
          </w:p>
          <w:p w14:paraId="1E2D12E0" w14:textId="77777777" w:rsidR="00C33F84" w:rsidRPr="00C06C22" w:rsidRDefault="00C33F84" w:rsidP="00677EC2">
            <w:pPr>
              <w:pStyle w:val="RTSmallheadingCAPS"/>
            </w:pPr>
          </w:p>
          <w:p w14:paraId="7AEB04E4" w14:textId="5C85C471" w:rsidR="00C33F84" w:rsidRPr="00C33F84" w:rsidRDefault="00C33F84" w:rsidP="00C33F84">
            <w:pPr>
              <w:pStyle w:val="RTBodyText"/>
              <w:tabs>
                <w:tab w:val="left" w:pos="1860"/>
              </w:tabs>
              <w:rPr>
                <w:lang w:val="en-US"/>
              </w:rPr>
            </w:pPr>
            <w:r w:rsidRPr="00C33F84">
              <w:rPr>
                <w:lang w:val="en-US"/>
              </w:rPr>
              <w:t xml:space="preserve">Although states generally have latitude to determine what type of conduct is sufficiently harmful to </w:t>
            </w:r>
            <w:r w:rsidR="00530B26">
              <w:rPr>
                <w:lang w:val="en-US"/>
              </w:rPr>
              <w:br/>
            </w:r>
            <w:r w:rsidRPr="00C33F84">
              <w:rPr>
                <w:lang w:val="en-US"/>
              </w:rPr>
              <w:t>others and the community at-large to merit criminal sanction, this policing power is not unlimited.</w:t>
            </w:r>
            <w:r w:rsidRPr="00C33F84">
              <w:rPr>
                <w:vertAlign w:val="superscript"/>
                <w:lang w:val="en-US"/>
              </w:rPr>
              <w:footnoteReference w:id="356"/>
            </w:r>
            <w:r w:rsidRPr="00C33F84">
              <w:rPr>
                <w:lang w:val="en-US"/>
              </w:rPr>
              <w:t xml:space="preserve"> Various human rights principles can be applied to limit the use of criminal sanctions to prevent and </w:t>
            </w:r>
            <w:r w:rsidR="00530B26">
              <w:rPr>
                <w:lang w:val="en-US"/>
              </w:rPr>
              <w:br/>
            </w:r>
            <w:r w:rsidRPr="00C33F84">
              <w:rPr>
                <w:lang w:val="en-US"/>
              </w:rPr>
              <w:t xml:space="preserve">punish certain conduct. An overarching limit is the principle of </w:t>
            </w:r>
            <w:r w:rsidRPr="00C33F84">
              <w:rPr>
                <w:i/>
                <w:lang w:val="en-US"/>
              </w:rPr>
              <w:t>ultima ratio</w:t>
            </w:r>
            <w:r w:rsidRPr="00C33F84">
              <w:rPr>
                <w:lang w:val="en-US"/>
              </w:rPr>
              <w:t xml:space="preserve"> </w:t>
            </w:r>
            <w:r w:rsidR="003558BA">
              <w:rPr>
                <w:lang w:val="en-US"/>
              </w:rPr>
              <w:t>–</w:t>
            </w:r>
            <w:r w:rsidRPr="00C33F84">
              <w:rPr>
                <w:lang w:val="en-US"/>
              </w:rPr>
              <w:t xml:space="preserve"> criminal law as a last resort.</w:t>
            </w:r>
            <w:r w:rsidRPr="00C33F84">
              <w:rPr>
                <w:vertAlign w:val="superscript"/>
                <w:lang w:val="en-US"/>
              </w:rPr>
              <w:footnoteReference w:id="357"/>
            </w:r>
            <w:r w:rsidRPr="00C33F84">
              <w:rPr>
                <w:lang w:val="en-US"/>
              </w:rPr>
              <w:t xml:space="preserve"> This is based on the understanding that criminal sanctions are one of the most severe </w:t>
            </w:r>
            <w:r w:rsidR="00530B26">
              <w:rPr>
                <w:lang w:val="en-US"/>
              </w:rPr>
              <w:br/>
            </w:r>
            <w:r w:rsidRPr="00C33F84">
              <w:rPr>
                <w:lang w:val="en-US"/>
              </w:rPr>
              <w:t xml:space="preserve">forms of state intrusion on civil liberties and thus must be used with great caution and in limited circumstances. Some fundamental principles of human rights law, which limit the unrestricted use </w:t>
            </w:r>
            <w:r w:rsidR="00530B26">
              <w:rPr>
                <w:lang w:val="en-US"/>
              </w:rPr>
              <w:br/>
            </w:r>
            <w:r w:rsidRPr="00C33F84">
              <w:rPr>
                <w:lang w:val="en-US"/>
              </w:rPr>
              <w:t xml:space="preserve">of criminal law include:    </w:t>
            </w:r>
          </w:p>
          <w:p w14:paraId="25278974" w14:textId="23084962" w:rsidR="00C33F84" w:rsidRPr="00C33F84" w:rsidRDefault="00C33F84" w:rsidP="00C33F84">
            <w:pPr>
              <w:pStyle w:val="RTBodyText"/>
              <w:tabs>
                <w:tab w:val="left" w:pos="1860"/>
              </w:tabs>
            </w:pPr>
            <w:r w:rsidRPr="00C33F84">
              <w:rPr>
                <w:b/>
              </w:rPr>
              <w:t xml:space="preserve">Legality: </w:t>
            </w:r>
            <w:r w:rsidRPr="00C33F84">
              <w:t xml:space="preserve">Crimes and punishments must be defined by law in a manner that is accessible to the </w:t>
            </w:r>
            <w:r w:rsidR="00530B26">
              <w:br/>
            </w:r>
            <w:r w:rsidRPr="00C33F84">
              <w:t>population.</w:t>
            </w:r>
            <w:r w:rsidRPr="00C33F84">
              <w:rPr>
                <w:vertAlign w:val="superscript"/>
              </w:rPr>
              <w:footnoteReference w:id="358"/>
            </w:r>
            <w:r w:rsidRPr="00C33F84">
              <w:t xml:space="preserve"> People must be able to foresee what conduct is criminalized and the scope of possible penalties.</w:t>
            </w:r>
            <w:r w:rsidRPr="00C33F84">
              <w:rPr>
                <w:vertAlign w:val="superscript"/>
              </w:rPr>
              <w:footnoteReference w:id="359"/>
            </w:r>
            <w:r w:rsidRPr="00C33F84">
              <w:t xml:space="preserve"> Accordingly, retrospective application of criminal law is prohibited when it is used </w:t>
            </w:r>
            <w:r w:rsidR="00530B26">
              <w:br/>
            </w:r>
            <w:r w:rsidRPr="00C33F84">
              <w:t xml:space="preserve">to an accused’s disadvantage, both in terms of the criminalized conduct itself and the severity </w:t>
            </w:r>
            <w:r w:rsidR="00530B26">
              <w:br/>
            </w:r>
            <w:r w:rsidRPr="00C33F84">
              <w:t xml:space="preserve">of punishment imposed. </w:t>
            </w:r>
            <w:r w:rsidRPr="00C33F84">
              <w:rPr>
                <w:vertAlign w:val="superscript"/>
              </w:rPr>
              <w:footnoteReference w:id="360"/>
            </w:r>
            <w:r w:rsidRPr="00C33F84">
              <w:t xml:space="preserve">  </w:t>
            </w:r>
          </w:p>
          <w:p w14:paraId="78D0ECE5" w14:textId="6E9F4C90" w:rsidR="00C33F84" w:rsidRPr="00C33F84" w:rsidRDefault="00C33F84" w:rsidP="00C33F84">
            <w:pPr>
              <w:pStyle w:val="RTBodyText"/>
              <w:tabs>
                <w:tab w:val="left" w:pos="1860"/>
              </w:tabs>
            </w:pPr>
            <w:r w:rsidRPr="00C33F84">
              <w:rPr>
                <w:b/>
              </w:rPr>
              <w:t>Legitimate Aim or Purpose</w:t>
            </w:r>
            <w:r w:rsidRPr="00C33F84">
              <w:t xml:space="preserve">: Restrictions on human rights (including through criminal law) must be </w:t>
            </w:r>
            <w:r w:rsidR="00530B26">
              <w:br/>
            </w:r>
            <w:r w:rsidRPr="00C33F84">
              <w:t>for a legitimate purpose or aim.</w:t>
            </w:r>
            <w:r w:rsidRPr="00C33F84">
              <w:rPr>
                <w:vertAlign w:val="superscript"/>
              </w:rPr>
              <w:footnoteReference w:id="361"/>
            </w:r>
            <w:r w:rsidRPr="00C33F84">
              <w:t xml:space="preserve"> The list of what may constitute a legitimate aim is not open-ended </w:t>
            </w:r>
            <w:r w:rsidR="00530B26">
              <w:br/>
            </w:r>
            <w:r w:rsidRPr="00C33F84">
              <w:t>and is restricted only to specific grounds such as: protection of national security, public order, public health or morals or the rights and freedoms of others. In order to be lawful any restrictions on human rights, in addition to serving a legitimate aim or purpose, would also need to meet the principle of necessity and proportionality. Invoking morality alone as a reason to criminalize particular conduct will never be enough.</w:t>
            </w:r>
            <w:r w:rsidRPr="00C33F84">
              <w:rPr>
                <w:vertAlign w:val="superscript"/>
              </w:rPr>
              <w:footnoteReference w:id="362"/>
            </w:r>
            <w:r w:rsidRPr="00C33F84">
              <w:t xml:space="preserve">     </w:t>
            </w:r>
          </w:p>
          <w:p w14:paraId="3035C667" w14:textId="022D4842" w:rsidR="00C33F84" w:rsidRPr="00C33F84" w:rsidRDefault="00C33F84" w:rsidP="00C33F84">
            <w:pPr>
              <w:pStyle w:val="RTBodyText"/>
              <w:tabs>
                <w:tab w:val="left" w:pos="1860"/>
              </w:tabs>
            </w:pPr>
            <w:r w:rsidRPr="00C33F84">
              <w:rPr>
                <w:b/>
              </w:rPr>
              <w:lastRenderedPageBreak/>
              <w:t>Necessity</w:t>
            </w:r>
            <w:r w:rsidRPr="00C33F84">
              <w:t>: Restriction of individual’s human rights can only be justified when other, less restrictive responses would be inadequate and unable to achieve the legitimate aim or purpose.</w:t>
            </w:r>
            <w:r w:rsidRPr="00C33F84">
              <w:rPr>
                <w:vertAlign w:val="superscript"/>
                <w:lang w:val="en-US"/>
              </w:rPr>
              <w:footnoteReference w:id="363"/>
            </w:r>
            <w:r w:rsidRPr="00C33F84">
              <w:t xml:space="preserve"> </w:t>
            </w:r>
          </w:p>
          <w:p w14:paraId="6B668C82" w14:textId="7709A236" w:rsidR="00C33F84" w:rsidRPr="00C33F84" w:rsidRDefault="00C33F84" w:rsidP="00C33F84">
            <w:pPr>
              <w:pStyle w:val="RTBodyText"/>
              <w:tabs>
                <w:tab w:val="left" w:pos="1860"/>
              </w:tabs>
            </w:pPr>
            <w:r w:rsidRPr="00C33F84">
              <w:rPr>
                <w:b/>
              </w:rPr>
              <w:t>Proportionality</w:t>
            </w:r>
            <w:r w:rsidRPr="00C33F84">
              <w:t>: State policies must be proportionate and suitable to pursue the legitimate aim.</w:t>
            </w:r>
            <w:r w:rsidRPr="00C33F84">
              <w:rPr>
                <w:vertAlign w:val="superscript"/>
                <w:lang w:val="en-US"/>
              </w:rPr>
              <w:footnoteReference w:id="364"/>
            </w:r>
            <w:r w:rsidRPr="00C33F84">
              <w:t xml:space="preserve"> Deprivation of someone’s liberty which results from the application of criminal law may not </w:t>
            </w:r>
            <w:r w:rsidR="00530B26">
              <w:br/>
            </w:r>
            <w:r w:rsidRPr="00C33F84">
              <w:t xml:space="preserve">always meet the requirement of proportionality, especially if other less harsh measures could </w:t>
            </w:r>
            <w:r w:rsidR="00530B26">
              <w:br/>
            </w:r>
            <w:r w:rsidRPr="00C33F84">
              <w:t>be similarly effective.</w:t>
            </w:r>
          </w:p>
          <w:p w14:paraId="58293F27" w14:textId="5AEFC36A" w:rsidR="00C33F84" w:rsidRPr="00C33F84" w:rsidRDefault="00C33F84" w:rsidP="00C33F84">
            <w:pPr>
              <w:pStyle w:val="RTBodyText"/>
              <w:tabs>
                <w:tab w:val="left" w:pos="1860"/>
              </w:tabs>
            </w:pPr>
            <w:r w:rsidRPr="00C33F84">
              <w:rPr>
                <w:b/>
              </w:rPr>
              <w:t>Non-discrimination</w:t>
            </w:r>
            <w:r w:rsidRPr="00C33F84">
              <w:t xml:space="preserve">: Criminal laws and policies must be applied equally to all people and must not </w:t>
            </w:r>
            <w:r w:rsidR="00530B26">
              <w:br/>
            </w:r>
            <w:r w:rsidRPr="00C33F84">
              <w:t>have a discriminatory impact on particular groups of people.</w:t>
            </w:r>
            <w:r w:rsidRPr="00C33F84">
              <w:rPr>
                <w:vertAlign w:val="superscript"/>
                <w:lang w:val="en-US"/>
              </w:rPr>
              <w:footnoteReference w:id="365"/>
            </w:r>
          </w:p>
          <w:p w14:paraId="4239E568" w14:textId="34A863E8" w:rsidR="00C33F84" w:rsidRPr="00C06C22" w:rsidRDefault="00C33F84" w:rsidP="00C33F84">
            <w:pPr>
              <w:pStyle w:val="RTBodyText"/>
              <w:tabs>
                <w:tab w:val="left" w:pos="1860"/>
              </w:tabs>
            </w:pPr>
          </w:p>
        </w:tc>
      </w:tr>
    </w:tbl>
    <w:p w14:paraId="452759C7" w14:textId="235EC375" w:rsidR="00B1230E" w:rsidRDefault="00C33F84" w:rsidP="00C33F84">
      <w:pPr>
        <w:pStyle w:val="RTNumberedHeading"/>
      </w:pPr>
      <w:bookmarkStart w:id="54" w:name="_Toc482741452"/>
      <w:r>
        <w:lastRenderedPageBreak/>
        <w:t>The right to equality and non-discrimination</w:t>
      </w:r>
      <w:bookmarkEnd w:id="54"/>
    </w:p>
    <w:p w14:paraId="77996D25" w14:textId="77777777" w:rsidR="00C33F84" w:rsidRDefault="00C33F84" w:rsidP="00C33F84">
      <w:pPr>
        <w:pStyle w:val="RTBodyText"/>
        <w:rPr>
          <w:lang w:eastAsia="en-GB"/>
        </w:rPr>
      </w:pPr>
    </w:p>
    <w:p w14:paraId="506552BA" w14:textId="77777777" w:rsidR="00C33F84" w:rsidRPr="00C33F84" w:rsidRDefault="00C33F84" w:rsidP="00C33F84">
      <w:pPr>
        <w:pStyle w:val="RTBodyText"/>
        <w:rPr>
          <w:lang w:eastAsia="en-GB"/>
        </w:rPr>
      </w:pPr>
      <w:r w:rsidRPr="00C33F84">
        <w:rPr>
          <w:lang w:eastAsia="en-GB"/>
        </w:rPr>
        <w:t xml:space="preserve">Criminalizing pregnant women’s drug use not only violates the right to health and implicates a range of other human </w:t>
      </w:r>
      <w:proofErr w:type="gramStart"/>
      <w:r w:rsidRPr="00C33F84">
        <w:rPr>
          <w:lang w:eastAsia="en-GB"/>
        </w:rPr>
        <w:t>rights,</w:t>
      </w:r>
      <w:proofErr w:type="gramEnd"/>
      <w:r w:rsidRPr="00C33F84">
        <w:rPr>
          <w:lang w:eastAsia="en-GB"/>
        </w:rPr>
        <w:t xml:space="preserve"> it is also discriminatory and can create a permissive environment for stigma and discrimination, in violation of the right to equality and the principle of non-discrimination,</w:t>
      </w:r>
      <w:r w:rsidRPr="00C33F84">
        <w:rPr>
          <w:vertAlign w:val="superscript"/>
          <w:lang w:eastAsia="en-GB"/>
        </w:rPr>
        <w:footnoteReference w:id="366"/>
      </w:r>
      <w:r w:rsidRPr="00C33F84">
        <w:rPr>
          <w:lang w:eastAsia="en-GB"/>
        </w:rPr>
        <w:t xml:space="preserve"> a principle of international human rights law contained in all human rights treaties.</w:t>
      </w:r>
      <w:r w:rsidRPr="00C33F84">
        <w:rPr>
          <w:vertAlign w:val="superscript"/>
          <w:lang w:eastAsia="en-GB"/>
        </w:rPr>
        <w:footnoteReference w:id="367"/>
      </w:r>
      <w:r w:rsidRPr="00C33F84">
        <w:rPr>
          <w:lang w:eastAsia="en-GB"/>
        </w:rPr>
        <w:t xml:space="preserve"> </w:t>
      </w:r>
    </w:p>
    <w:p w14:paraId="5A237E63" w14:textId="7F80F9B7" w:rsidR="00C33F84" w:rsidRPr="00C33F84" w:rsidRDefault="00C33F84" w:rsidP="00C33F84">
      <w:pPr>
        <w:pStyle w:val="RTBodyText"/>
        <w:rPr>
          <w:lang w:eastAsia="en-GB"/>
        </w:rPr>
      </w:pPr>
      <w:r w:rsidRPr="00C33F84">
        <w:rPr>
          <w:lang w:eastAsia="en-GB"/>
        </w:rPr>
        <w:t xml:space="preserve">The principle of non-discrimination is essential to the realization of all human rights. Each of the core international human rights treaties </w:t>
      </w:r>
      <w:proofErr w:type="gramStart"/>
      <w:r w:rsidRPr="00C33F84">
        <w:rPr>
          <w:lang w:eastAsia="en-GB"/>
        </w:rPr>
        <w:t>reiterate</w:t>
      </w:r>
      <w:proofErr w:type="gramEnd"/>
      <w:r w:rsidRPr="00C33F84">
        <w:rPr>
          <w:lang w:eastAsia="en-GB"/>
        </w:rPr>
        <w:t xml:space="preserve"> this general principle, including the Universal Declaration of Human Rights.</w:t>
      </w:r>
      <w:r w:rsidRPr="00C33F84">
        <w:rPr>
          <w:vertAlign w:val="superscript"/>
          <w:lang w:eastAsia="en-GB"/>
        </w:rPr>
        <w:footnoteReference w:id="368"/>
      </w:r>
      <w:r w:rsidRPr="00C33F84">
        <w:rPr>
          <w:lang w:eastAsia="en-GB"/>
        </w:rPr>
        <w:t xml:space="preserve"> </w:t>
      </w:r>
      <w:r w:rsidR="00530B26">
        <w:rPr>
          <w:lang w:eastAsia="en-GB"/>
        </w:rPr>
        <w:t>E</w:t>
      </w:r>
      <w:r w:rsidRPr="00C33F84">
        <w:rPr>
          <w:lang w:eastAsia="en-GB"/>
        </w:rPr>
        <w:t xml:space="preserve">very person is entitled to the full range of human rights without distinction of any kind, such as on the basis of race, </w:t>
      </w:r>
      <w:proofErr w:type="spellStart"/>
      <w:r w:rsidRPr="00C33F84">
        <w:rPr>
          <w:lang w:eastAsia="en-GB"/>
        </w:rPr>
        <w:t>color</w:t>
      </w:r>
      <w:proofErr w:type="spellEnd"/>
      <w:r w:rsidRPr="00C33F84">
        <w:rPr>
          <w:lang w:eastAsia="en-GB"/>
        </w:rPr>
        <w:t>, sex, language, religion, political or other opinion, national or social origin, property, birth or other status.</w:t>
      </w:r>
      <w:r w:rsidRPr="00C33F84">
        <w:rPr>
          <w:vertAlign w:val="superscript"/>
          <w:lang w:eastAsia="en-GB"/>
        </w:rPr>
        <w:footnoteReference w:id="369"/>
      </w:r>
    </w:p>
    <w:p w14:paraId="3EB978B3" w14:textId="10649D34" w:rsidR="00C33F84" w:rsidRPr="00C33F84" w:rsidRDefault="00C33F84" w:rsidP="00C33F84">
      <w:pPr>
        <w:pStyle w:val="RTBodyText"/>
        <w:rPr>
          <w:lang w:eastAsia="en-GB"/>
        </w:rPr>
      </w:pPr>
      <w:r w:rsidRPr="00C33F84">
        <w:rPr>
          <w:lang w:eastAsia="en-GB"/>
        </w:rPr>
        <w:t>Under international law, states have an obligation to refrain from having laws that are discriminatory and whose impact could be discriminatory with regard to certain groups of categories of individuals, even when there is no discriminatory intention. The impact of laws criminalizing pregnant women’s drug use in the USA violates women’s right to equality and the principle of non-discrimination. Tennessee’s “</w:t>
      </w:r>
      <w:proofErr w:type="spellStart"/>
      <w:r w:rsidRPr="00C33F84">
        <w:rPr>
          <w:lang w:eastAsia="en-GB"/>
        </w:rPr>
        <w:t>fetal</w:t>
      </w:r>
      <w:proofErr w:type="spellEnd"/>
      <w:r w:rsidRPr="00C33F84">
        <w:rPr>
          <w:lang w:eastAsia="en-GB"/>
        </w:rPr>
        <w:t xml:space="preserve"> ass</w:t>
      </w:r>
      <w:r w:rsidR="00004AF1">
        <w:rPr>
          <w:lang w:eastAsia="en-GB"/>
        </w:rPr>
        <w:t>a</w:t>
      </w:r>
      <w:r w:rsidRPr="00C33F84">
        <w:rPr>
          <w:lang w:eastAsia="en-GB"/>
        </w:rPr>
        <w:t>u</w:t>
      </w:r>
      <w:r w:rsidR="00004AF1">
        <w:rPr>
          <w:lang w:eastAsia="en-GB"/>
        </w:rPr>
        <w:t>l</w:t>
      </w:r>
      <w:r w:rsidRPr="00C33F84">
        <w:rPr>
          <w:lang w:eastAsia="en-GB"/>
        </w:rPr>
        <w:t xml:space="preserve">t” law was directly discriminatory in specifically singling out pregnant women for their drug use. Alabama’s “chemical endangerment” law appears gender-neutral, but is interpreted in a biased manner that indirectly discriminates against women due to their capacity to become pregnant. In both cases, these laws tend to be disproportionately enforced against low-income women and women of </w:t>
      </w:r>
      <w:proofErr w:type="spellStart"/>
      <w:r w:rsidRPr="00C33F84">
        <w:rPr>
          <w:lang w:eastAsia="en-GB"/>
        </w:rPr>
        <w:t>color</w:t>
      </w:r>
      <w:proofErr w:type="spellEnd"/>
      <w:r w:rsidRPr="00C33F84">
        <w:rPr>
          <w:lang w:eastAsia="en-GB"/>
        </w:rPr>
        <w:t xml:space="preserve"> people who are often already facing multiple levels of discrimination and who may already be involved in state regulatory systems including criminal justice and child welfare systems that use surveillance and stereotyping. </w:t>
      </w:r>
    </w:p>
    <w:p w14:paraId="5D933ACB" w14:textId="19B7CA72" w:rsidR="00C33F84" w:rsidRDefault="00C33F84" w:rsidP="00C33F84">
      <w:pPr>
        <w:pStyle w:val="RTNumberedSubheading"/>
      </w:pPr>
      <w:bookmarkStart w:id="55" w:name="_Toc482741453"/>
      <w:r>
        <w:t>Direct discrimination</w:t>
      </w:r>
      <w:bookmarkEnd w:id="55"/>
    </w:p>
    <w:p w14:paraId="06F78543" w14:textId="77777777" w:rsidR="00C33F84" w:rsidRPr="00C33F84" w:rsidRDefault="00C33F84" w:rsidP="00C33F84">
      <w:pPr>
        <w:pStyle w:val="RTBodyText"/>
        <w:rPr>
          <w:lang w:eastAsia="en-GB"/>
        </w:rPr>
      </w:pPr>
      <w:r w:rsidRPr="00C33F84">
        <w:rPr>
          <w:lang w:eastAsia="en-GB"/>
        </w:rPr>
        <w:t xml:space="preserve">Laws that criminalize women’s actions during pregnancy are directly discriminatory in that they only apply to women who become pregnant. As women and girls have the capacity to become pregnant, these laws amount </w:t>
      </w:r>
      <w:r w:rsidRPr="00C33F84">
        <w:rPr>
          <w:lang w:eastAsia="en-GB"/>
        </w:rPr>
        <w:lastRenderedPageBreak/>
        <w:t>to prohibited discrimination on the basis of sex. International human rights law recognizes that women should not be discriminated against or subject to unique criminal penalties because of their reproductive capabilities.</w:t>
      </w:r>
      <w:r w:rsidRPr="00C33F84">
        <w:rPr>
          <w:vertAlign w:val="superscript"/>
          <w:lang w:eastAsia="en-GB"/>
        </w:rPr>
        <w:footnoteReference w:id="370"/>
      </w:r>
      <w:r w:rsidRPr="00C33F84">
        <w:rPr>
          <w:lang w:eastAsia="en-GB"/>
        </w:rPr>
        <w:t xml:space="preserve"> The CEDAW Committee has specifically stated that criminal codes “criminalizing </w:t>
      </w:r>
      <w:proofErr w:type="spellStart"/>
      <w:r w:rsidRPr="00C33F84">
        <w:rPr>
          <w:lang w:eastAsia="en-GB"/>
        </w:rPr>
        <w:t>behaviors</w:t>
      </w:r>
      <w:proofErr w:type="spellEnd"/>
      <w:r w:rsidRPr="00C33F84">
        <w:rPr>
          <w:lang w:eastAsia="en-GB"/>
        </w:rPr>
        <w:t xml:space="preserve"> that can only be performed by women” thereby discriminate against women.</w:t>
      </w:r>
      <w:r w:rsidRPr="00C33F84">
        <w:rPr>
          <w:vertAlign w:val="superscript"/>
          <w:lang w:eastAsia="en-GB"/>
        </w:rPr>
        <w:footnoteReference w:id="371"/>
      </w:r>
      <w:r w:rsidRPr="00C33F84">
        <w:rPr>
          <w:vertAlign w:val="superscript"/>
          <w:lang w:eastAsia="en-GB"/>
        </w:rPr>
        <w:t xml:space="preserve"> </w:t>
      </w:r>
    </w:p>
    <w:p w14:paraId="60C01DBA" w14:textId="14B74F33" w:rsidR="00C33F84" w:rsidRPr="00C33F84" w:rsidRDefault="00C33F84" w:rsidP="00C33F84">
      <w:pPr>
        <w:pStyle w:val="RTBodyText"/>
        <w:rPr>
          <w:lang w:eastAsia="en-GB"/>
        </w:rPr>
      </w:pPr>
      <w:r w:rsidRPr="00C33F84">
        <w:rPr>
          <w:lang w:eastAsia="en-GB"/>
        </w:rPr>
        <w:t>The Tennessee “</w:t>
      </w:r>
      <w:proofErr w:type="spellStart"/>
      <w:r w:rsidRPr="00C33F84">
        <w:rPr>
          <w:lang w:eastAsia="en-GB"/>
        </w:rPr>
        <w:t>fetal</w:t>
      </w:r>
      <w:proofErr w:type="spellEnd"/>
      <w:r w:rsidRPr="00C33F84">
        <w:rPr>
          <w:lang w:eastAsia="en-GB"/>
        </w:rPr>
        <w:t xml:space="preserve"> assault” law is directly discriminatory in that it defines a form of “assault” that may only be performed by a “woman…</w:t>
      </w:r>
      <w:r w:rsidR="00530B26">
        <w:rPr>
          <w:lang w:eastAsia="en-GB"/>
        </w:rPr>
        <w:t xml:space="preserve"> </w:t>
      </w:r>
      <w:r w:rsidRPr="00C33F84">
        <w:rPr>
          <w:lang w:eastAsia="en-GB"/>
        </w:rPr>
        <w:t>while pregnant.”</w:t>
      </w:r>
      <w:r w:rsidRPr="00C33F84">
        <w:rPr>
          <w:vertAlign w:val="superscript"/>
          <w:lang w:eastAsia="en-GB"/>
        </w:rPr>
        <w:footnoteReference w:id="372"/>
      </w:r>
      <w:r w:rsidRPr="00C33F84">
        <w:rPr>
          <w:lang w:eastAsia="en-GB"/>
        </w:rPr>
        <w:t xml:space="preserve"> Civil commitment laws that allow states to involuntarily place pregnant women in protective custody are also directly discriminatory in that they specifically address pregnant women.</w:t>
      </w:r>
      <w:r w:rsidRPr="00C33F84">
        <w:rPr>
          <w:vertAlign w:val="superscript"/>
          <w:lang w:eastAsia="en-GB"/>
        </w:rPr>
        <w:footnoteReference w:id="373"/>
      </w:r>
      <w:r w:rsidRPr="00C33F84">
        <w:rPr>
          <w:lang w:eastAsia="en-GB"/>
        </w:rPr>
        <w:t xml:space="preserve"> Child welfare statues defining parental drug use as child abuse are applied to men after the birth of a child, but applied to women from the moment they become pregnant in some states.</w:t>
      </w:r>
      <w:r w:rsidRPr="00C33F84">
        <w:rPr>
          <w:vertAlign w:val="superscript"/>
          <w:lang w:eastAsia="en-GB"/>
        </w:rPr>
        <w:footnoteReference w:id="374"/>
      </w:r>
      <w:r w:rsidRPr="00C33F84">
        <w:rPr>
          <w:lang w:eastAsia="en-GB"/>
        </w:rPr>
        <w:t xml:space="preserve"> </w:t>
      </w:r>
    </w:p>
    <w:p w14:paraId="45413FDD" w14:textId="73AD209B" w:rsidR="00C33F84" w:rsidRPr="00C33F84" w:rsidRDefault="00C33F84" w:rsidP="00C33F84">
      <w:pPr>
        <w:pStyle w:val="RTBodyText"/>
        <w:rPr>
          <w:lang w:eastAsia="en-GB"/>
        </w:rPr>
      </w:pPr>
      <w:r w:rsidRPr="00C33F84">
        <w:rPr>
          <w:lang w:eastAsia="en-GB"/>
        </w:rPr>
        <w:t>However, there is no legitimate or compelling reason to enshrine this sex-based distinction in law. While Tennessee legislators passed the “</w:t>
      </w:r>
      <w:proofErr w:type="spellStart"/>
      <w:r w:rsidRPr="00C33F84">
        <w:rPr>
          <w:lang w:eastAsia="en-GB"/>
        </w:rPr>
        <w:t>fetal</w:t>
      </w:r>
      <w:proofErr w:type="spellEnd"/>
      <w:r w:rsidRPr="00C33F84">
        <w:rPr>
          <w:lang w:eastAsia="en-GB"/>
        </w:rPr>
        <w:t xml:space="preserve"> assault” law as a means to dissuade acts perceived to cause “harm,” as referenced earlier, criminal laws must be necessary, proportionate, reasonable, and non-discriminatory. </w:t>
      </w:r>
    </w:p>
    <w:p w14:paraId="733BCC36" w14:textId="539C673F" w:rsidR="00C33F84" w:rsidRDefault="00C33F84" w:rsidP="00C33F84">
      <w:pPr>
        <w:pStyle w:val="RTBodyText"/>
        <w:rPr>
          <w:lang w:val="en-US" w:eastAsia="en-GB"/>
        </w:rPr>
      </w:pPr>
      <w:r w:rsidRPr="00C33F84">
        <w:rPr>
          <w:lang w:eastAsia="en-GB"/>
        </w:rPr>
        <w:t>States have an obligation to promote maternal, child and reproductive health.</w:t>
      </w:r>
      <w:r w:rsidRPr="00C33F84">
        <w:rPr>
          <w:vertAlign w:val="superscript"/>
          <w:lang w:eastAsia="en-GB"/>
        </w:rPr>
        <w:footnoteReference w:id="375"/>
      </w:r>
      <w:r w:rsidRPr="00C33F84">
        <w:rPr>
          <w:lang w:eastAsia="en-GB"/>
        </w:rPr>
        <w:t xml:space="preserve"> However, pregnancy criminalization laws defeat this purpose. Such laws are an ineffective and inappropriate means to achieve this aim. </w:t>
      </w:r>
      <w:r w:rsidRPr="00C33F84">
        <w:rPr>
          <w:lang w:val="en-US" w:eastAsia="en-GB"/>
        </w:rPr>
        <w:t xml:space="preserve">Instead of promoting health, criminalization results in a range of human rights violations including deterring prenatal care and increasing stigmatization among an already marginalized group. Criminalization is a disproportionate response to a health issue where non-punitive approaches would better achieve the aim. </w:t>
      </w:r>
      <w:r w:rsidR="009A5563">
        <w:rPr>
          <w:lang w:val="en-US" w:eastAsia="en-GB"/>
        </w:rPr>
        <w:t>C</w:t>
      </w:r>
      <w:r w:rsidRPr="00C33F84">
        <w:rPr>
          <w:lang w:val="en-US" w:eastAsia="en-GB"/>
        </w:rPr>
        <w:t>riminalization do</w:t>
      </w:r>
      <w:r w:rsidR="009A5563">
        <w:rPr>
          <w:lang w:val="en-US" w:eastAsia="en-GB"/>
        </w:rPr>
        <w:t>es</w:t>
      </w:r>
      <w:r w:rsidRPr="00C33F84">
        <w:rPr>
          <w:lang w:val="en-US" w:eastAsia="en-GB"/>
        </w:rPr>
        <w:t xml:space="preserve"> not</w:t>
      </w:r>
      <w:r w:rsidR="009A5563">
        <w:rPr>
          <w:lang w:val="en-US" w:eastAsia="en-GB"/>
        </w:rPr>
        <w:t xml:space="preserve"> </w:t>
      </w:r>
      <w:r w:rsidRPr="00C33F84">
        <w:rPr>
          <w:lang w:val="en-US" w:eastAsia="en-GB"/>
        </w:rPr>
        <w:t xml:space="preserve">promote prenatal </w:t>
      </w:r>
      <w:r w:rsidR="00CF7C14">
        <w:rPr>
          <w:lang w:val="en-US" w:eastAsia="en-GB"/>
        </w:rPr>
        <w:t>healthcare</w:t>
      </w:r>
      <w:r w:rsidRPr="00C33F84">
        <w:rPr>
          <w:lang w:val="en-US" w:eastAsia="en-GB"/>
        </w:rPr>
        <w:t xml:space="preserve">, it even deters women from seeking care and erodes trust in </w:t>
      </w:r>
      <w:r w:rsidR="00CF7C14">
        <w:rPr>
          <w:lang w:val="en-US" w:eastAsia="en-GB"/>
        </w:rPr>
        <w:t>healthcare</w:t>
      </w:r>
      <w:r w:rsidRPr="00C33F84">
        <w:rPr>
          <w:lang w:val="en-US" w:eastAsia="en-GB"/>
        </w:rPr>
        <w:t xml:space="preserve"> providers.  </w:t>
      </w:r>
    </w:p>
    <w:p w14:paraId="7443715C" w14:textId="2069CA70" w:rsidR="00C33F84" w:rsidRDefault="00C33F84" w:rsidP="00C33F84">
      <w:pPr>
        <w:pStyle w:val="RTNumberedSubheading"/>
      </w:pPr>
      <w:bookmarkStart w:id="56" w:name="_Toc482741454"/>
      <w:r w:rsidRPr="00C33F84">
        <w:t>Indirect discrimination</w:t>
      </w:r>
      <w:bookmarkEnd w:id="56"/>
    </w:p>
    <w:p w14:paraId="6DC2208C" w14:textId="0D4F056E" w:rsidR="00597C6F" w:rsidRDefault="00C33F84" w:rsidP="00C33F84">
      <w:pPr>
        <w:pStyle w:val="RTBodyText"/>
        <w:rPr>
          <w:lang w:eastAsia="en-GB"/>
        </w:rPr>
      </w:pPr>
      <w:r w:rsidRPr="00C33F84">
        <w:rPr>
          <w:lang w:val="en-US" w:eastAsia="en-GB"/>
        </w:rPr>
        <w:t xml:space="preserve">Laws that are directly discriminatory are somewhat transparent given that the intent of the law is relatively clear. However, criminalization of pregnant women for drug use is often also manifest through unintended application of criminal law in a discriminatory manner. For example, </w:t>
      </w:r>
      <w:r w:rsidRPr="00C33F84">
        <w:rPr>
          <w:lang w:eastAsia="en-GB"/>
        </w:rPr>
        <w:t>while women and men can be charged with “chemical endangerment” under Alabama law, pregnant women are uniquely and disproportionately targeted for punishment under the law for drug use during pregnancy.</w:t>
      </w:r>
      <w:r w:rsidRPr="00C33F84">
        <w:rPr>
          <w:vertAlign w:val="superscript"/>
          <w:lang w:eastAsia="en-GB"/>
        </w:rPr>
        <w:footnoteReference w:id="376"/>
      </w:r>
      <w:r w:rsidRPr="00C33F84">
        <w:rPr>
          <w:lang w:eastAsia="en-GB"/>
        </w:rPr>
        <w:t xml:space="preserve"> The law also impacts certain groups of pregnant women more than others.</w:t>
      </w:r>
      <w:r w:rsidRPr="00C33F84">
        <w:rPr>
          <w:vertAlign w:val="superscript"/>
          <w:lang w:eastAsia="en-GB"/>
        </w:rPr>
        <w:footnoteReference w:id="377"/>
      </w:r>
      <w:r w:rsidRPr="00C33F84">
        <w:rPr>
          <w:lang w:eastAsia="en-GB"/>
        </w:rPr>
        <w:t xml:space="preserve"> </w:t>
      </w:r>
      <w:r w:rsidR="00066D45" w:rsidRPr="00066D45">
        <w:rPr>
          <w:lang w:eastAsia="en-GB"/>
        </w:rPr>
        <w:t>Indirect discrimination can also “exacerbate existing inequalities owing to a failure to recognize structural patterns of discrimination and unequal power relationships between women and men.”</w:t>
      </w:r>
      <w:r w:rsidR="00D32413">
        <w:rPr>
          <w:rStyle w:val="FootnoteReference"/>
          <w:lang w:eastAsia="en-GB"/>
        </w:rPr>
        <w:footnoteReference w:id="378"/>
      </w:r>
    </w:p>
    <w:p w14:paraId="53582E6A" w14:textId="78C56A63" w:rsidR="00C33F84" w:rsidRPr="00C33F84" w:rsidRDefault="00C33F84" w:rsidP="00C33F84">
      <w:pPr>
        <w:pStyle w:val="RTBodyText"/>
        <w:rPr>
          <w:lang w:eastAsia="en-GB"/>
        </w:rPr>
      </w:pPr>
      <w:r w:rsidRPr="00C33F84">
        <w:rPr>
          <w:lang w:eastAsia="en-GB"/>
        </w:rPr>
        <w:t>In the context of the right to health, the CESCR Committee has said that the CESCR “proscribes any discrimination in access to health</w:t>
      </w:r>
      <w:r w:rsidR="009A5563">
        <w:rPr>
          <w:lang w:eastAsia="en-GB"/>
        </w:rPr>
        <w:t xml:space="preserve"> </w:t>
      </w:r>
      <w:r w:rsidRPr="00C33F84">
        <w:rPr>
          <w:lang w:eastAsia="en-GB"/>
        </w:rPr>
        <w:t xml:space="preserve">care and underlying determinants of health, as well as to means and entitlements for their procurement, on the grounds of race, </w:t>
      </w:r>
      <w:proofErr w:type="spellStart"/>
      <w:r w:rsidRPr="00C33F84">
        <w:rPr>
          <w:lang w:eastAsia="en-GB"/>
        </w:rPr>
        <w:t>color</w:t>
      </w:r>
      <w:proofErr w:type="spellEnd"/>
      <w:r w:rsidRPr="00C33F84">
        <w:rPr>
          <w:lang w:eastAsia="en-GB"/>
        </w:rPr>
        <w:t>, sex, language, religion, political or other opinion, national or social origin, property, birth, physical or mental disability, health status (including HIV/AIDS), sexual orientation and civil, political, social or other status”.</w:t>
      </w:r>
      <w:r w:rsidRPr="00C33F84">
        <w:rPr>
          <w:vertAlign w:val="superscript"/>
          <w:lang w:eastAsia="en-GB"/>
        </w:rPr>
        <w:footnoteReference w:id="379"/>
      </w:r>
      <w:r w:rsidRPr="00C33F84">
        <w:rPr>
          <w:lang w:eastAsia="en-GB"/>
        </w:rPr>
        <w:t xml:space="preserve"> Women from marginalized groups, and particularly women with low</w:t>
      </w:r>
      <w:r w:rsidR="009A5563">
        <w:rPr>
          <w:lang w:eastAsia="en-GB"/>
        </w:rPr>
        <w:t xml:space="preserve"> </w:t>
      </w:r>
      <w:r w:rsidRPr="00C33F84">
        <w:rPr>
          <w:lang w:eastAsia="en-GB"/>
        </w:rPr>
        <w:t>incomes as they are more closely scrutinized and targeted by the State, are disproportionately affected by “pregnancy criminalization” laws.</w:t>
      </w:r>
    </w:p>
    <w:p w14:paraId="78F96C80" w14:textId="77777777" w:rsidR="00C33F84" w:rsidRPr="00C33F84" w:rsidRDefault="00C33F84" w:rsidP="00C33F84">
      <w:pPr>
        <w:pStyle w:val="RTBodyText"/>
        <w:rPr>
          <w:lang w:eastAsia="en-GB"/>
        </w:rPr>
      </w:pPr>
      <w:r w:rsidRPr="00C33F84">
        <w:rPr>
          <w:lang w:val="en-US" w:eastAsia="en-GB"/>
        </w:rPr>
        <w:lastRenderedPageBreak/>
        <w:t>The UN Human Rights Committee has also noted that the ICCPR’s prohibition of discrimination should be understood to encompass both discriminatory purposes and effects.</w:t>
      </w:r>
      <w:r w:rsidRPr="00C33F84">
        <w:rPr>
          <w:vertAlign w:val="superscript"/>
          <w:lang w:val="en-US" w:eastAsia="en-GB"/>
        </w:rPr>
        <w:footnoteReference w:id="380"/>
      </w:r>
      <w:r w:rsidRPr="00C33F84">
        <w:rPr>
          <w:lang w:val="en-US" w:eastAsia="en-GB"/>
        </w:rPr>
        <w:t xml:space="preserve"> Furthermore, </w:t>
      </w:r>
      <w:r w:rsidRPr="00C33F84">
        <w:rPr>
          <w:lang w:eastAsia="en-GB"/>
        </w:rPr>
        <w:t>the Inter-American Court of Human Rights has considered that a violation of the right to equality and non-discrimination also occurs in situations and cases of indirect discrimination reflected in the disproportionate impact of norms, actions, policies or other measures that, even when their formulation is or appears to be neutral, or their scope is general and undifferentiated, have negative effects on certain vulnerable groups.</w:t>
      </w:r>
      <w:r w:rsidRPr="00C33F84">
        <w:rPr>
          <w:vertAlign w:val="superscript"/>
          <w:lang w:eastAsia="en-GB"/>
        </w:rPr>
        <w:footnoteReference w:id="381"/>
      </w:r>
      <w:r w:rsidRPr="00C33F84">
        <w:rPr>
          <w:lang w:eastAsia="en-GB"/>
        </w:rPr>
        <w:t xml:space="preserve"> Similarly, the CEDAW Committee recognizes the obligation to ensure that there is no direct or indirect discrimination against women in law, or in the public or private spheres.</w:t>
      </w:r>
      <w:r w:rsidRPr="00C33F84">
        <w:rPr>
          <w:vertAlign w:val="superscript"/>
          <w:lang w:eastAsia="en-GB"/>
        </w:rPr>
        <w:footnoteReference w:id="382"/>
      </w:r>
    </w:p>
    <w:p w14:paraId="13C45C18" w14:textId="2DD0CE3A" w:rsidR="00C33F84" w:rsidRPr="00C33F84" w:rsidRDefault="00C33F84" w:rsidP="00C33F84">
      <w:pPr>
        <w:pStyle w:val="RTBodyText"/>
        <w:rPr>
          <w:lang w:eastAsia="en-GB"/>
        </w:rPr>
      </w:pPr>
      <w:r w:rsidRPr="00C33F84">
        <w:rPr>
          <w:lang w:eastAsia="en-GB"/>
        </w:rPr>
        <w:t xml:space="preserve">The right to equality and non-discrimination requires </w:t>
      </w:r>
      <w:r w:rsidR="009A5563">
        <w:rPr>
          <w:lang w:eastAsia="en-GB"/>
        </w:rPr>
        <w:t>s</w:t>
      </w:r>
      <w:r w:rsidRPr="00C33F84">
        <w:rPr>
          <w:lang w:eastAsia="en-GB"/>
        </w:rPr>
        <w:t xml:space="preserve">tates to do more than refrain from discriminatory acts: where necessary, </w:t>
      </w:r>
      <w:r w:rsidR="009A5563">
        <w:rPr>
          <w:lang w:eastAsia="en-GB"/>
        </w:rPr>
        <w:t>s</w:t>
      </w:r>
      <w:r w:rsidRPr="00C33F84">
        <w:rPr>
          <w:lang w:eastAsia="en-GB"/>
        </w:rPr>
        <w:t>tates must also devote “greater resources to traditionally neglected groups” and put in place measures that allow marginalized groups to access their rights and entitlements equally.</w:t>
      </w:r>
      <w:r w:rsidRPr="00C33F84">
        <w:rPr>
          <w:vertAlign w:val="superscript"/>
          <w:lang w:eastAsia="en-GB"/>
        </w:rPr>
        <w:footnoteReference w:id="383"/>
      </w:r>
      <w:r w:rsidRPr="00C33F84">
        <w:rPr>
          <w:lang w:eastAsia="en-GB"/>
        </w:rPr>
        <w:t xml:space="preserve"> This right also requires </w:t>
      </w:r>
      <w:r w:rsidR="009A5563">
        <w:rPr>
          <w:lang w:eastAsia="en-GB"/>
        </w:rPr>
        <w:t>s</w:t>
      </w:r>
      <w:r w:rsidRPr="00C33F84">
        <w:rPr>
          <w:lang w:eastAsia="en-GB"/>
        </w:rPr>
        <w:t xml:space="preserve">tates to invest in addressing discriminatory attitudes, stereotypes and </w:t>
      </w:r>
      <w:proofErr w:type="spellStart"/>
      <w:r w:rsidRPr="00C33F84">
        <w:rPr>
          <w:lang w:eastAsia="en-GB"/>
        </w:rPr>
        <w:t>behaviors</w:t>
      </w:r>
      <w:proofErr w:type="spellEnd"/>
      <w:r w:rsidRPr="00C33F84">
        <w:rPr>
          <w:lang w:eastAsia="en-GB"/>
        </w:rPr>
        <w:t xml:space="preserve"> amongst populations as a way to address systemic discrimination. </w:t>
      </w:r>
    </w:p>
    <w:p w14:paraId="6F0DC647" w14:textId="77777777" w:rsidR="00C33F84" w:rsidRPr="00C33F84" w:rsidRDefault="00C33F84" w:rsidP="00C33F84">
      <w:pPr>
        <w:pStyle w:val="RTBodyText"/>
        <w:rPr>
          <w:lang w:eastAsia="en-GB"/>
        </w:rPr>
      </w:pPr>
      <w:r w:rsidRPr="00C33F84">
        <w:rPr>
          <w:lang w:eastAsia="en-GB"/>
        </w:rPr>
        <w:t xml:space="preserve">Individuals are often subject to multiple and intersecting forms of discrimination, that is, discrimination based on multiple prohibited grounds which combine to produce distinct disadvantages, such as discrimination based on gender and health status. States must be aware of the impact of multiple and intersecting discrimination on individuals and take particular steps to eliminate it. </w:t>
      </w:r>
    </w:p>
    <w:p w14:paraId="7E7C8F85" w14:textId="47638517" w:rsidR="00C33F84" w:rsidRPr="00C33F84" w:rsidRDefault="00C33F84" w:rsidP="00C33F84">
      <w:pPr>
        <w:pStyle w:val="RTBodyText"/>
        <w:rPr>
          <w:lang w:eastAsia="en-GB"/>
        </w:rPr>
      </w:pPr>
      <w:r w:rsidRPr="00C33F84">
        <w:rPr>
          <w:lang w:eastAsia="en-GB"/>
        </w:rPr>
        <w:t>In its 2014 concluding observations to the USA, the CERD Committee reiterated its concern regarding the “persistence of racial disparities in the field of sexual and reproductive health, particularly with regard to the high maternal and infant mortality rates among African</w:t>
      </w:r>
      <w:r w:rsidR="009A5563">
        <w:rPr>
          <w:lang w:eastAsia="en-GB"/>
        </w:rPr>
        <w:t xml:space="preserve"> </w:t>
      </w:r>
      <w:r w:rsidRPr="00C33F84">
        <w:rPr>
          <w:lang w:eastAsia="en-GB"/>
        </w:rPr>
        <w:t>American Communities.”</w:t>
      </w:r>
      <w:r w:rsidRPr="00C33F84">
        <w:rPr>
          <w:vertAlign w:val="superscript"/>
          <w:lang w:eastAsia="en-GB"/>
        </w:rPr>
        <w:footnoteReference w:id="384"/>
      </w:r>
      <w:r w:rsidRPr="00C33F84">
        <w:rPr>
          <w:lang w:eastAsia="en-GB"/>
        </w:rPr>
        <w:t xml:space="preserve"> The Committee recommended that all states to effectively identify and address the causes of these disparities. Because laws that criminalize women’s actions during pregnancy discourage women from seeking prenatal care, these laws presumably contribute to these disparities.</w:t>
      </w:r>
    </w:p>
    <w:p w14:paraId="3E82F2AC" w14:textId="146789CD" w:rsidR="00D27AAB" w:rsidRDefault="00D27AAB" w:rsidP="00D27AAB">
      <w:pPr>
        <w:pStyle w:val="RTNumberedSubheading"/>
      </w:pPr>
      <w:bookmarkStart w:id="57" w:name="_Toc482741455"/>
      <w:r>
        <w:t>Equal protection under law</w:t>
      </w:r>
      <w:bookmarkEnd w:id="57"/>
    </w:p>
    <w:p w14:paraId="13A8A24A" w14:textId="00D76350" w:rsidR="00D27AAB" w:rsidRPr="00D27AAB" w:rsidRDefault="00D27AAB" w:rsidP="00D27AAB">
      <w:pPr>
        <w:pStyle w:val="RTBodyText"/>
      </w:pPr>
      <w:r w:rsidRPr="00D27AAB">
        <w:t>States are required to ensure people are treated equally under the law</w:t>
      </w:r>
      <w:r w:rsidR="009A5563">
        <w:t>.</w:t>
      </w:r>
      <w:r w:rsidRPr="00D27AAB">
        <w:t xml:space="preserve"> Article 26 of the ICCPR</w:t>
      </w:r>
      <w:r w:rsidR="009A5563">
        <w:t xml:space="preserve"> </w:t>
      </w:r>
      <w:r w:rsidRPr="00D27AAB">
        <w:t>states: “All persons are equal before the law and are entitled without discrimination to the equal protection of the law.”</w:t>
      </w:r>
      <w:r w:rsidRPr="00D27AAB">
        <w:rPr>
          <w:vertAlign w:val="superscript"/>
        </w:rPr>
        <w:footnoteReference w:id="385"/>
      </w:r>
      <w:r w:rsidRPr="00D27AAB">
        <w:t xml:space="preserve"> States are thus required to ensure the equal rights of all people within its jurisdiction. </w:t>
      </w:r>
      <w:r w:rsidRPr="00D27AAB">
        <w:rPr>
          <w:lang w:val="en-US"/>
        </w:rPr>
        <w:t>Under the ICERD, the USA must not only refrain from actions that may have discriminatory purpose or effect, but must also guarantee the right “to equality before the law, notably in the enjoyment of… the right to public health, [and] medical care.”</w:t>
      </w:r>
      <w:r w:rsidRPr="00D27AAB">
        <w:rPr>
          <w:vertAlign w:val="superscript"/>
          <w:lang w:val="en-US"/>
        </w:rPr>
        <w:footnoteReference w:id="386"/>
      </w:r>
    </w:p>
    <w:p w14:paraId="4766A389" w14:textId="7C9E6FA9" w:rsidR="00D27AAB" w:rsidRPr="00D27AAB" w:rsidRDefault="00D27AAB" w:rsidP="00D27AAB">
      <w:pPr>
        <w:pStyle w:val="RTBodyText"/>
      </w:pPr>
      <w:r w:rsidRPr="00D27AAB">
        <w:t xml:space="preserve">Laws that specifically assign criminal liability based on one’s pregnancy status conflict with the concept of equal protection. Beyond this, criminalizing women for certain conduct during pregnancy has been shown to have a disproportionate impact on women who are already marginalized due to multiple, intersecting factors including poverty, ethnic or racial discrimination, drug dependence and a lack of access to </w:t>
      </w:r>
      <w:r w:rsidR="00CF7C14">
        <w:t>healthcare</w:t>
      </w:r>
      <w:r w:rsidRPr="00D27AAB">
        <w:t xml:space="preserve">. The effect of these laws is to leave pregnant women at heightened risks of prosecution for their actions, </w:t>
      </w:r>
      <w:r w:rsidR="009A5563">
        <w:t>e</w:t>
      </w:r>
      <w:r w:rsidRPr="00D27AAB">
        <w:t>stablishing a form of criminal liability that only applies to pregnant women</w:t>
      </w:r>
      <w:r w:rsidR="009A5563">
        <w:t>.</w:t>
      </w:r>
    </w:p>
    <w:p w14:paraId="479C9C05" w14:textId="57B46127" w:rsidR="00D27AAB" w:rsidRPr="00D27AAB" w:rsidRDefault="00D27AAB" w:rsidP="00D27AAB">
      <w:pPr>
        <w:pStyle w:val="RTBodyText"/>
      </w:pPr>
      <w:r w:rsidRPr="00D27AAB">
        <w:t>Pregnant women have received criminal charges for actions that would not be a crime but for pregnancy status</w:t>
      </w:r>
      <w:r w:rsidR="006912F1">
        <w:t>,</w:t>
      </w:r>
      <w:r w:rsidRPr="00D27AAB">
        <w:t xml:space="preserve"> including attempting suicide, falling down stairs and refusing medical treatment.</w:t>
      </w:r>
      <w:r w:rsidRPr="00D27AAB">
        <w:rPr>
          <w:vertAlign w:val="superscript"/>
        </w:rPr>
        <w:footnoteReference w:id="387"/>
      </w:r>
      <w:r w:rsidRPr="00D27AAB">
        <w:t xml:space="preserve"> Similarly, child welfare statues defining parental drug use as child abuse are applied to both women and men after the birth of a child, but only applied to women for exposure during pregnancy in some states.</w:t>
      </w:r>
      <w:r w:rsidRPr="00D27AAB">
        <w:rPr>
          <w:vertAlign w:val="superscript"/>
        </w:rPr>
        <w:footnoteReference w:id="388"/>
      </w:r>
      <w:r w:rsidRPr="00D27AAB">
        <w:t xml:space="preserve"> </w:t>
      </w:r>
    </w:p>
    <w:p w14:paraId="4B8F0B72" w14:textId="77777777" w:rsidR="00EE42D6" w:rsidRPr="00EE42D6" w:rsidRDefault="00EE42D6" w:rsidP="00EE42D6">
      <w:pPr>
        <w:pStyle w:val="RTNumberedSubheading"/>
      </w:pPr>
      <w:bookmarkStart w:id="58" w:name="_Toc459019961"/>
      <w:bookmarkStart w:id="59" w:name="_Toc472099384"/>
      <w:bookmarkStart w:id="60" w:name="_Toc482741456"/>
      <w:r w:rsidRPr="00EE42D6">
        <w:lastRenderedPageBreak/>
        <w:t>Impact of Stigma and discrimination on health</w:t>
      </w:r>
      <w:bookmarkEnd w:id="58"/>
      <w:bookmarkEnd w:id="59"/>
      <w:bookmarkEnd w:id="60"/>
    </w:p>
    <w:p w14:paraId="49B6DFA4" w14:textId="77777777" w:rsidR="00EE42D6" w:rsidRPr="00EE42D6" w:rsidRDefault="00EE42D6" w:rsidP="00EE42D6">
      <w:pPr>
        <w:pStyle w:val="RTBodyText"/>
      </w:pPr>
      <w:r w:rsidRPr="00EE42D6">
        <w:t>Stigma and discrimination faced by people who use d</w:t>
      </w:r>
      <w:r w:rsidRPr="00EE42D6">
        <w:rPr>
          <w:lang w:val="en-US"/>
        </w:rPr>
        <w:t xml:space="preserve">rugs, usually considered to be ill or criminal, has segregated and further marginalized these individuals from broader society. </w:t>
      </w:r>
      <w:r w:rsidRPr="00EE42D6">
        <w:t>Pregnant women who use drugs face particular stigma and discrimination, which in turn can increase their health risks.</w:t>
      </w:r>
      <w:r w:rsidRPr="00EE42D6">
        <w:rPr>
          <w:vertAlign w:val="superscript"/>
        </w:rPr>
        <w:footnoteReference w:id="389"/>
      </w:r>
      <w:r w:rsidRPr="00EE42D6">
        <w:t xml:space="preserve"> Specifically, the targeting and surveillance of marginalized groups can lead these individuals to internalize their social suffering and to self-stigmatization.</w:t>
      </w:r>
      <w:r w:rsidRPr="00EE42D6">
        <w:rPr>
          <w:vertAlign w:val="superscript"/>
        </w:rPr>
        <w:footnoteReference w:id="390"/>
      </w:r>
      <w:r w:rsidRPr="00EE42D6">
        <w:t xml:space="preserve">    </w:t>
      </w:r>
    </w:p>
    <w:p w14:paraId="07AE7E82" w14:textId="77777777" w:rsidR="00EE42D6" w:rsidRPr="00EE42D6" w:rsidRDefault="00EE42D6" w:rsidP="00EE42D6">
      <w:pPr>
        <w:pStyle w:val="RTBodyText"/>
      </w:pPr>
      <w:proofErr w:type="gramStart"/>
      <w:r w:rsidRPr="00EE42D6">
        <w:t>Women seeking sexual and reproductive healthcare services face discrimination based on stereotypes about their roles as child-bearers and social expectations defining how they should perform this role.</w:t>
      </w:r>
      <w:proofErr w:type="gramEnd"/>
      <w:r w:rsidRPr="00EE42D6">
        <w:rPr>
          <w:vertAlign w:val="superscript"/>
        </w:rPr>
        <w:footnoteReference w:id="391"/>
      </w:r>
      <w:r w:rsidRPr="00EE42D6">
        <w:rPr>
          <w:vertAlign w:val="superscript"/>
        </w:rPr>
        <w:t xml:space="preserve"> </w:t>
      </w:r>
      <w:r w:rsidRPr="00EE42D6">
        <w:t>For pregnant women who are drug dependent, these expectations about motherhood intersect with stigma around drug use. Short of any evidence, one’s status as a person who uses drugs can be used as a stand-alone basis to deny parental rights,</w:t>
      </w:r>
      <w:r w:rsidRPr="00EE42D6">
        <w:rPr>
          <w:vertAlign w:val="superscript"/>
        </w:rPr>
        <w:t xml:space="preserve"> </w:t>
      </w:r>
      <w:r w:rsidRPr="00EE42D6">
        <w:rPr>
          <w:vertAlign w:val="superscript"/>
        </w:rPr>
        <w:footnoteReference w:id="392"/>
      </w:r>
      <w:r w:rsidRPr="00EE42D6">
        <w:t xml:space="preserve"> both reflecting and promoting discrimination. </w:t>
      </w:r>
    </w:p>
    <w:p w14:paraId="4C37F23B" w14:textId="1AB96E91" w:rsidR="00EE42D6" w:rsidRPr="00EE42D6" w:rsidRDefault="00EE42D6" w:rsidP="00EE42D6">
      <w:pPr>
        <w:pStyle w:val="RTBodyText"/>
      </w:pPr>
      <w:r w:rsidRPr="00EE42D6">
        <w:t>Healthcare providers are generally in a position of authority over patients and thus patients find themselves in a position of relative powerlessness that renders them susceptible to judgment and inability to communicate freely. Pregnant women facing drug dependence occupy a vulnerable position due to these intersecting stigmas and stereotypes around women’s roles and drug use.</w:t>
      </w:r>
    </w:p>
    <w:p w14:paraId="19549355" w14:textId="77777777" w:rsidR="00EE42D6" w:rsidRPr="00EE42D6" w:rsidRDefault="00EE42D6" w:rsidP="00EE42D6">
      <w:pPr>
        <w:pStyle w:val="RTBodyText"/>
      </w:pPr>
      <w:r w:rsidRPr="00EE42D6">
        <w:t>Women who have historically been marginalized are the least likely to have the maternal health services they require. Addressing obligations to respect and guarantee human rights without discrimination may help overcome inequalities in access to maternal health services.</w:t>
      </w:r>
      <w:r w:rsidRPr="00EE42D6">
        <w:rPr>
          <w:vertAlign w:val="superscript"/>
        </w:rPr>
        <w:footnoteReference w:id="393"/>
      </w:r>
    </w:p>
    <w:p w14:paraId="5CA4EBCF" w14:textId="14BBE338" w:rsidR="00EE42D6" w:rsidRPr="00EE42D6" w:rsidRDefault="00EE42D6" w:rsidP="00EE42D6">
      <w:pPr>
        <w:pStyle w:val="RTBodyText"/>
      </w:pPr>
      <w:r w:rsidRPr="00EE42D6">
        <w:t>Criminalization further amplifies intersecting forms of discrimination and makes it harder for women who are drug dependent to improve their lives.</w:t>
      </w:r>
      <w:r w:rsidRPr="00EE42D6">
        <w:rPr>
          <w:vertAlign w:val="superscript"/>
        </w:rPr>
        <w:footnoteReference w:id="394"/>
      </w:r>
    </w:p>
    <w:p w14:paraId="533BBE79" w14:textId="54F1D0F1" w:rsidR="00EE42D6" w:rsidRPr="00EE42D6" w:rsidRDefault="00EE42D6" w:rsidP="00EE42D6">
      <w:pPr>
        <w:pStyle w:val="RTBodyText"/>
        <w:rPr>
          <w:lang w:val="en-US"/>
        </w:rPr>
      </w:pPr>
      <w:r w:rsidRPr="00EE42D6">
        <w:rPr>
          <w:lang w:val="en-US"/>
        </w:rPr>
        <w:t xml:space="preserve">A </w:t>
      </w:r>
      <w:r>
        <w:rPr>
          <w:lang w:val="en-US"/>
        </w:rPr>
        <w:t>public health expert explained:</w:t>
      </w:r>
    </w:p>
    <w:p w14:paraId="36070FBC" w14:textId="77777777" w:rsidR="00EE42D6" w:rsidRPr="00EE42D6" w:rsidRDefault="00EE42D6" w:rsidP="00EE42D6">
      <w:pPr>
        <w:pStyle w:val="RTSmallQuoteText"/>
      </w:pPr>
      <w:r w:rsidRPr="00EE42D6">
        <w:t>“If they’re active in addiction they have lost a lot. They may not have a job, and have limited resources. Add the fact that they just had a baby, and little means to take care of a baby and themselves. Now you throw them into the court system, there are going to be court costs. There’s a woman now who got probation. She owes over $5000 in court costs. You’re pushing them even further down in their struggles. If she doesn’t pay she’s worried she’s going to get arrested again.”</w:t>
      </w:r>
      <w:r w:rsidRPr="00EE42D6">
        <w:rPr>
          <w:vertAlign w:val="superscript"/>
        </w:rPr>
        <w:footnoteReference w:id="395"/>
      </w:r>
      <w:r w:rsidRPr="00EE42D6">
        <w:t xml:space="preserve"> </w:t>
      </w:r>
    </w:p>
    <w:p w14:paraId="600581B5" w14:textId="29B6B098" w:rsidR="00EE42D6" w:rsidRPr="00EE42D6" w:rsidRDefault="00EE42D6" w:rsidP="00EE42D6">
      <w:pPr>
        <w:pStyle w:val="RTBodyText"/>
      </w:pPr>
      <w:r w:rsidRPr="00EE42D6">
        <w:t xml:space="preserve">Pregnant women who use drugs are frequently enmeshed in systems of discrimination and punishment that are difficult to escape. Once a woman is inside the criminal justice or child welfare system, she is subjected to </w:t>
      </w:r>
      <w:proofErr w:type="gramStart"/>
      <w:r w:rsidRPr="00EE42D6">
        <w:t>increased</w:t>
      </w:r>
      <w:proofErr w:type="gramEnd"/>
      <w:r w:rsidRPr="00EE42D6">
        <w:t xml:space="preserve"> policing of her actions, which increase the cha</w:t>
      </w:r>
      <w:r>
        <w:t xml:space="preserve">nces of additional punishment. </w:t>
      </w:r>
    </w:p>
    <w:p w14:paraId="1E2254E1" w14:textId="259C28FA" w:rsidR="00EE42D6" w:rsidRPr="00EE42D6" w:rsidRDefault="001C3B6D" w:rsidP="00EE42D6">
      <w:pPr>
        <w:pStyle w:val="RTNumberedSubheading"/>
      </w:pPr>
      <w:bookmarkStart w:id="61" w:name="_Toc459019962"/>
      <w:bookmarkStart w:id="62" w:name="_Toc472099385"/>
      <w:bookmarkStart w:id="63" w:name="_Toc482741457"/>
      <w:r>
        <w:t xml:space="preserve">The </w:t>
      </w:r>
      <w:r w:rsidR="00EE42D6" w:rsidRPr="00EE42D6">
        <w:t xml:space="preserve">Obligation to combat stereotypes based </w:t>
      </w:r>
      <w:r w:rsidR="002C1305">
        <w:br/>
      </w:r>
      <w:r w:rsidR="00EE42D6" w:rsidRPr="00EE42D6">
        <w:t>on Sex and Gender</w:t>
      </w:r>
      <w:bookmarkEnd w:id="61"/>
      <w:bookmarkEnd w:id="62"/>
      <w:bookmarkEnd w:id="63"/>
    </w:p>
    <w:p w14:paraId="261F0B77" w14:textId="4C7E88C0" w:rsidR="00EE42D6" w:rsidRPr="00EE42D6" w:rsidRDefault="00EE42D6" w:rsidP="00EE42D6">
      <w:pPr>
        <w:pStyle w:val="RTBodyText"/>
      </w:pPr>
      <w:r w:rsidRPr="00EE42D6">
        <w:t xml:space="preserve">Laws criminalizing women for their drug use during pregnancy are rooted in discriminatory and harmful sex and gender stereotypes about women, their bodies and their roles as mothers and caretakers. Gender stereotypes intersect with racial stereotypes to question and ultimately denigrate women’s reproductive decision-making. For example, stereotypes perpetuate the devaluation of </w:t>
      </w:r>
      <w:r w:rsidR="002C1305">
        <w:t>b</w:t>
      </w:r>
      <w:r w:rsidRPr="00EE42D6">
        <w:t xml:space="preserve">lack women as mothers, they perpetuate stigma against low-income </w:t>
      </w:r>
      <w:r w:rsidR="002C1305">
        <w:t>w</w:t>
      </w:r>
      <w:r w:rsidRPr="00EE42D6">
        <w:t>hite women who transgress social norms and call into question Asian-American women’s reproductive decision-making.</w:t>
      </w:r>
      <w:r w:rsidRPr="00EE42D6">
        <w:rPr>
          <w:vertAlign w:val="superscript"/>
        </w:rPr>
        <w:footnoteReference w:id="396"/>
      </w:r>
      <w:r w:rsidRPr="00EE42D6">
        <w:t xml:space="preserve"> These stereotypes have a direct impact on women’s rights to bodily autonomy </w:t>
      </w:r>
      <w:r w:rsidRPr="00EE42D6">
        <w:lastRenderedPageBreak/>
        <w:t>and their right to make free choices about their sexuality and reproduction. Those who are perceived as stepping outside of society’s conception of the ideal caregiver and mother are specifically scrutinized, stigmatized and punished.</w:t>
      </w:r>
      <w:r w:rsidRPr="00EE42D6">
        <w:rPr>
          <w:vertAlign w:val="superscript"/>
        </w:rPr>
        <w:footnoteReference w:id="397"/>
      </w:r>
      <w:r w:rsidRPr="00EE42D6">
        <w:t xml:space="preserve">  </w:t>
      </w:r>
    </w:p>
    <w:p w14:paraId="100791E6" w14:textId="2D5108A4" w:rsidR="00EE42D6" w:rsidRPr="00EE42D6" w:rsidRDefault="00EE42D6" w:rsidP="00EE42D6">
      <w:pPr>
        <w:pStyle w:val="RTBodyText"/>
      </w:pPr>
      <w:r w:rsidRPr="00EE42D6">
        <w:t>The Human Rights Committee has also reaffirmed the notion that: “Inequality in the enjoyment of rights by women throughout the world is deeply embedded in tradition, history and culture, including religious attitudes.”</w:t>
      </w:r>
      <w:r w:rsidRPr="00EE42D6">
        <w:rPr>
          <w:vertAlign w:val="superscript"/>
        </w:rPr>
        <w:footnoteReference w:id="398"/>
      </w:r>
      <w:r w:rsidRPr="00EE42D6">
        <w:t xml:space="preserve"> To that end, this Committee has called on state parties to “ensure that traditional, historical, religious or cultural attitudes are not used to justify violations of women’s… equal enjoyment of all Covenant rights.”</w:t>
      </w:r>
      <w:r w:rsidRPr="00EE42D6">
        <w:rPr>
          <w:vertAlign w:val="superscript"/>
        </w:rPr>
        <w:footnoteReference w:id="399"/>
      </w:r>
    </w:p>
    <w:p w14:paraId="0D74EAD7" w14:textId="77777777" w:rsidR="00EE42D6" w:rsidRPr="00EE42D6" w:rsidRDefault="00EE42D6" w:rsidP="00EE42D6">
      <w:pPr>
        <w:pStyle w:val="RTBodyText"/>
      </w:pPr>
      <w:r w:rsidRPr="00EE42D6">
        <w:t>The CEDAW Committee has reaffirmed through its analysis of intersectional discrimination in General Recommendation 28 that:</w:t>
      </w:r>
    </w:p>
    <w:p w14:paraId="314F5DBC" w14:textId="77777777" w:rsidR="00EE42D6" w:rsidRDefault="00EE42D6" w:rsidP="00EE42D6">
      <w:pPr>
        <w:pStyle w:val="RTSmallQuoteText"/>
      </w:pPr>
      <w:r w:rsidRPr="00EE42D6">
        <w:t xml:space="preserve">“The discrimination of women based on sex and gender is inextricably linked with other factors that affect women, such as race, ethnicity, religion or belief, health, status, age, class, caste and sexual orientation and gender identity. Discrimination on the basis of sex or gender may affect women belonging to such groups to a different degree or in different ways to men. States parties must legally recognize such intersecting forms of discrimination and their compounded negative </w:t>
      </w:r>
      <w:proofErr w:type="gramStart"/>
      <w:r w:rsidRPr="00EE42D6">
        <w:t>impact on the women concerned and prohibit</w:t>
      </w:r>
      <w:proofErr w:type="gramEnd"/>
      <w:r w:rsidRPr="00EE42D6">
        <w:t xml:space="preserve"> them.”</w:t>
      </w:r>
      <w:r w:rsidRPr="00EE42D6">
        <w:rPr>
          <w:vertAlign w:val="superscript"/>
        </w:rPr>
        <w:footnoteReference w:id="400"/>
      </w:r>
      <w:r w:rsidRPr="00EE42D6">
        <w:t xml:space="preserve"> </w:t>
      </w:r>
    </w:p>
    <w:p w14:paraId="1F11E5B7" w14:textId="48190556" w:rsidR="00EE42D6" w:rsidRPr="00EE42D6" w:rsidRDefault="00EE42D6" w:rsidP="00EE42D6">
      <w:pPr>
        <w:pStyle w:val="RTBodyText"/>
      </w:pPr>
      <w:r w:rsidRPr="00EE42D6">
        <w:t xml:space="preserve">Criminal laws which are used to </w:t>
      </w:r>
      <w:proofErr w:type="spellStart"/>
      <w:r w:rsidRPr="00EE42D6">
        <w:t>surveil</w:t>
      </w:r>
      <w:proofErr w:type="spellEnd"/>
      <w:r w:rsidRPr="00EE42D6">
        <w:t xml:space="preserve"> and punish pregnant women serve as a state-endorsed expression of stigma as they are driven by bias against women who are already marginalized due to structural factors. These laws also drive ongoing stigmatization, discrimination and stereotyping by confirming the perception that women who take actions perceived as </w:t>
      </w:r>
      <w:r w:rsidR="00C36314">
        <w:t>harmful to their pregnancies</w:t>
      </w:r>
      <w:r w:rsidRPr="00EE42D6">
        <w:t xml:space="preserve"> are “criminals”. Human rights bodies have confirmed that </w:t>
      </w:r>
      <w:r w:rsidR="00705BA4">
        <w:t>“</w:t>
      </w:r>
      <w:r w:rsidRPr="00EE42D6">
        <w:t xml:space="preserve">protection of the </w:t>
      </w:r>
      <w:proofErr w:type="spellStart"/>
      <w:r w:rsidRPr="00EE42D6">
        <w:t>fetus</w:t>
      </w:r>
      <w:proofErr w:type="spellEnd"/>
      <w:r w:rsidRPr="00EE42D6">
        <w:t>” over women’s rights is discriminatory because it imposes a stereotype of women, viewing them as mere instruments of reproduction.</w:t>
      </w:r>
      <w:r w:rsidRPr="00EE42D6">
        <w:rPr>
          <w:vertAlign w:val="superscript"/>
        </w:rPr>
        <w:footnoteReference w:id="401"/>
      </w:r>
      <w:r w:rsidRPr="00EE42D6">
        <w:t xml:space="preserve"> Fundamentally, protection of a woman’s </w:t>
      </w:r>
      <w:proofErr w:type="spellStart"/>
      <w:r w:rsidRPr="00EE42D6">
        <w:t>fetus</w:t>
      </w:r>
      <w:proofErr w:type="spellEnd"/>
      <w:r w:rsidRPr="00EE42D6">
        <w:t xml:space="preserve"> is ensured via the pregnant woman or girl and by giving primacy to guaranteeing her life or health.</w:t>
      </w:r>
      <w:r w:rsidRPr="00EE42D6">
        <w:rPr>
          <w:vertAlign w:val="superscript"/>
        </w:rPr>
        <w:footnoteReference w:id="402"/>
      </w:r>
      <w:r w:rsidRPr="00EE42D6">
        <w:t xml:space="preserve"> </w:t>
      </w:r>
    </w:p>
    <w:p w14:paraId="0CA656A7" w14:textId="1AB7D213" w:rsidR="00EE42D6" w:rsidRPr="00EE42D6" w:rsidRDefault="00EE42D6" w:rsidP="00EE42D6">
      <w:pPr>
        <w:pStyle w:val="RTBodyText"/>
      </w:pPr>
      <w:r w:rsidRPr="00EE42D6">
        <w:t>International human rights law requires states to combat stereotypes and stereotyping, including gender stereotypes and stereotyping.</w:t>
      </w:r>
      <w:r w:rsidRPr="00EE42D6">
        <w:rPr>
          <w:vertAlign w:val="superscript"/>
        </w:rPr>
        <w:footnoteReference w:id="403"/>
      </w:r>
      <w:r w:rsidRPr="00EE42D6">
        <w:t xml:space="preserve"> Article 5 of CEDAW explicitly calls upon states to confront stereotyping by requiring state parties to take “all appropriate measures” to “modify the social and cultural patterns of conduct of men and women” in an effort to eliminate practices that “are based on the idea of the inferiority or the superiority of either of the sexes or on stereotyped roles for men and women.”</w:t>
      </w:r>
      <w:r w:rsidRPr="00EE42D6">
        <w:rPr>
          <w:vertAlign w:val="superscript"/>
        </w:rPr>
        <w:footnoteReference w:id="404"/>
      </w:r>
      <w:r w:rsidRPr="00EE42D6">
        <w:t xml:space="preserve"> Article 5 covers both gender stereotypes that are based on a view of women as being inferior to men and sex-role stereotypes.</w:t>
      </w:r>
      <w:r w:rsidRPr="00EE42D6">
        <w:rPr>
          <w:vertAlign w:val="superscript"/>
        </w:rPr>
        <w:footnoteReference w:id="405"/>
      </w:r>
      <w:r w:rsidRPr="00EE42D6">
        <w:t xml:space="preserve"> Additionally, Article 2(f) reinforces Article 5 by requiring state parties to take “all appropriate measures” to “modify or abolish… laws, regulations, customs and practices which constitute </w:t>
      </w:r>
      <w:proofErr w:type="spellStart"/>
      <w:proofErr w:type="gramStart"/>
      <w:r w:rsidRPr="00EE42D6">
        <w:t>discriminat</w:t>
      </w:r>
      <w:proofErr w:type="spellEnd"/>
      <w:r w:rsidRPr="00EE42D6">
        <w:t>[</w:t>
      </w:r>
      <w:proofErr w:type="gramEnd"/>
      <w:r w:rsidRPr="00EE42D6">
        <w:t>ion] against women.”</w:t>
      </w:r>
      <w:r w:rsidRPr="00EE42D6">
        <w:rPr>
          <w:vertAlign w:val="superscript"/>
        </w:rPr>
        <w:footnoteReference w:id="406"/>
      </w:r>
      <w:r w:rsidRPr="00EE42D6">
        <w:t xml:space="preserve"> </w:t>
      </w:r>
    </w:p>
    <w:p w14:paraId="64570ED8" w14:textId="77777777" w:rsidR="00EE42D6" w:rsidRPr="00EE42D6" w:rsidRDefault="00EE42D6" w:rsidP="00EE42D6">
      <w:pPr>
        <w:pStyle w:val="RTBodyText"/>
      </w:pPr>
      <w:r w:rsidRPr="00EE42D6">
        <w:t>The CEDAW Committee has further affirmed the importance of state parties’ obligations around stereotyping in its General Recommendation 25 (temporary special measures) by identifying the requirement to “address prevailing gender relations and the persistence of gender-based stereotypes” as one of three categories of obligations central to the achievement of substantive equality.</w:t>
      </w:r>
      <w:r w:rsidRPr="00EE42D6">
        <w:rPr>
          <w:vertAlign w:val="superscript"/>
        </w:rPr>
        <w:footnoteReference w:id="407"/>
      </w:r>
      <w:r w:rsidRPr="00EE42D6">
        <w:t xml:space="preserve"> </w:t>
      </w:r>
    </w:p>
    <w:p w14:paraId="7AE16DED" w14:textId="77777777" w:rsidR="00EE42D6" w:rsidRPr="00EE42D6" w:rsidRDefault="00EE42D6" w:rsidP="00EE42D6">
      <w:pPr>
        <w:pStyle w:val="RTBodyText"/>
      </w:pPr>
      <w:r w:rsidRPr="00EE42D6">
        <w:lastRenderedPageBreak/>
        <w:t>Similarly, the Inter-American Court of Human Rights has determined that the persistent socially dominated stereotypes that subordinate women, either implicitly or explicitly – a situation that is exacerbated when the stereotypes are reflected in laws, policies and practices – are contrary to the American Convention.</w:t>
      </w:r>
      <w:r w:rsidRPr="00EE42D6">
        <w:rPr>
          <w:vertAlign w:val="superscript"/>
        </w:rPr>
        <w:footnoteReference w:id="408"/>
      </w:r>
    </w:p>
    <w:p w14:paraId="7912373C" w14:textId="2FE61483" w:rsidR="00866C06" w:rsidRPr="00EE42D6" w:rsidRDefault="00EE42D6" w:rsidP="00EE42D6">
      <w:pPr>
        <w:pStyle w:val="RTBodyText"/>
      </w:pPr>
      <w:r w:rsidRPr="00EE42D6">
        <w:t>In the end, the ongoing existence and enforcement of criminal laws that specifically punish pregnant women’s drug use indicate the US government is discriminating against women and not complying with its obligations to combat sex and gender stereotyping.</w:t>
      </w:r>
      <w:r w:rsidR="00D433CE">
        <w:t xml:space="preserve"> As one woman in recovery from drug dependence summed it up:</w:t>
      </w:r>
    </w:p>
    <w:p w14:paraId="6FD8F14A" w14:textId="28ADBA69" w:rsidR="00866C06" w:rsidRPr="00866C06" w:rsidRDefault="00866C06" w:rsidP="00866C06">
      <w:pPr>
        <w:pStyle w:val="RTSmallQuoteText"/>
      </w:pPr>
      <w:r w:rsidRPr="00866C06">
        <w:t>“What we need is to not be judged and to be treated with respect.”</w:t>
      </w:r>
      <w:r w:rsidR="00D433CE">
        <w:rPr>
          <w:rStyle w:val="FootnoteReference"/>
        </w:rPr>
        <w:footnoteReference w:id="409"/>
      </w:r>
      <w:r w:rsidRPr="00866C06">
        <w:t xml:space="preserve"> </w:t>
      </w:r>
    </w:p>
    <w:p w14:paraId="50EFB9A8" w14:textId="6E86A55E" w:rsidR="00C06C22" w:rsidRPr="0008733C" w:rsidRDefault="00C06C22" w:rsidP="00D27AAB">
      <w:pPr>
        <w:pStyle w:val="RTBodyText"/>
      </w:pPr>
      <w:r w:rsidRPr="0023267A">
        <w:br w:type="page"/>
      </w:r>
    </w:p>
    <w:p w14:paraId="17B23581" w14:textId="6B63811F" w:rsidR="0023267A" w:rsidRDefault="000D0B83" w:rsidP="000D0B83">
      <w:pPr>
        <w:pStyle w:val="RTTitlenumbered"/>
      </w:pPr>
      <w:bookmarkStart w:id="64" w:name="_Toc482741458"/>
      <w:r>
        <w:lastRenderedPageBreak/>
        <w:t>Conclusions and recommendatio</w:t>
      </w:r>
      <w:r w:rsidR="00757E9F">
        <w:t>n</w:t>
      </w:r>
      <w:r>
        <w:t>s</w:t>
      </w:r>
      <w:bookmarkEnd w:id="64"/>
    </w:p>
    <w:p w14:paraId="5EC1B93B" w14:textId="77777777" w:rsidR="00677EC2" w:rsidRPr="00677EC2" w:rsidRDefault="00677EC2" w:rsidP="00677EC2">
      <w:pPr>
        <w:pStyle w:val="RTBodyText"/>
        <w:rPr>
          <w:lang w:val="en-US" w:eastAsia="en-GB"/>
        </w:rPr>
      </w:pPr>
    </w:p>
    <w:p w14:paraId="1D8BF5FE" w14:textId="0AD9C9FE" w:rsidR="00677EC2" w:rsidRPr="00677EC2" w:rsidRDefault="00677EC2" w:rsidP="00677EC2">
      <w:pPr>
        <w:pStyle w:val="RTBodyText"/>
        <w:rPr>
          <w:lang w:val="en-US" w:eastAsia="en-GB"/>
        </w:rPr>
      </w:pPr>
      <w:r w:rsidRPr="00677EC2">
        <w:rPr>
          <w:lang w:val="en-US" w:eastAsia="en-GB"/>
        </w:rPr>
        <w:t xml:space="preserve">The issues and realities described in this report demonstrate that the US is not complying with its international legal obligations to respect, protect and fulfill the </w:t>
      </w:r>
      <w:r w:rsidR="00A3293D">
        <w:rPr>
          <w:lang w:val="en-US" w:eastAsia="en-GB"/>
        </w:rPr>
        <w:t xml:space="preserve">human </w:t>
      </w:r>
      <w:r w:rsidRPr="00677EC2">
        <w:rPr>
          <w:lang w:val="en-US" w:eastAsia="en-GB"/>
        </w:rPr>
        <w:t>rights of pregnant women. Rather than promoting the health and rights of pregnant women, the existence and enforcement of “pregnancy criminalization” laws are violating of pregnant women’s</w:t>
      </w:r>
      <w:r w:rsidR="008B5224">
        <w:rPr>
          <w:lang w:val="en-US" w:eastAsia="en-GB"/>
        </w:rPr>
        <w:t xml:space="preserve"> </w:t>
      </w:r>
      <w:r w:rsidRPr="00677EC2">
        <w:rPr>
          <w:lang w:val="en-US" w:eastAsia="en-GB"/>
        </w:rPr>
        <w:t xml:space="preserve">human rights and are the </w:t>
      </w:r>
      <w:r w:rsidR="00580D9C">
        <w:rPr>
          <w:lang w:val="en-US" w:eastAsia="en-GB"/>
        </w:rPr>
        <w:t>mistaken</w:t>
      </w:r>
      <w:r w:rsidRPr="00677EC2">
        <w:rPr>
          <w:lang w:val="en-US" w:eastAsia="en-GB"/>
        </w:rPr>
        <w:t xml:space="preserve"> legal and policy response to address an individual and public health issue.</w:t>
      </w:r>
    </w:p>
    <w:p w14:paraId="57C6A61E" w14:textId="6026C85F" w:rsidR="00677EC2" w:rsidRPr="00677EC2" w:rsidRDefault="00677EC2" w:rsidP="00677EC2">
      <w:pPr>
        <w:pStyle w:val="RTBodyText"/>
        <w:rPr>
          <w:lang w:eastAsia="en-GB"/>
        </w:rPr>
      </w:pPr>
      <w:r w:rsidRPr="00677EC2">
        <w:rPr>
          <w:lang w:eastAsia="en-GB"/>
        </w:rPr>
        <w:t xml:space="preserve">Criminalization of drug use and other actions perceived to be harmful during pregnancy does not meet the aims of promoting health and reducing harm. These punitive approaches often deter women from seeking </w:t>
      </w:r>
      <w:r w:rsidR="00CF7C14">
        <w:rPr>
          <w:lang w:eastAsia="en-GB"/>
        </w:rPr>
        <w:t>healthcare</w:t>
      </w:r>
      <w:r w:rsidRPr="00677EC2">
        <w:rPr>
          <w:lang w:eastAsia="en-GB"/>
        </w:rPr>
        <w:t xml:space="preserve"> services, in particular vital prenatal care and drug treatment, are discriminatory in fact and in effect, as well as contravene equal protection guarantees. “Pregnancy criminalization” laws are discriminatory against all women due to their capacity to become pregnant</w:t>
      </w:r>
      <w:r w:rsidR="00580D9C">
        <w:rPr>
          <w:lang w:eastAsia="en-GB"/>
        </w:rPr>
        <w:t xml:space="preserve"> </w:t>
      </w:r>
      <w:r w:rsidRPr="00677EC2">
        <w:rPr>
          <w:lang w:eastAsia="en-GB"/>
        </w:rPr>
        <w:t>and also particularly discriminatory against those from marginalized groups due to the existence of harmful gender stereotypes in accessing healthcare and justice. Such punitive approaches also reinforce stigma and discrimination against people who use drugs, which in turn may increase health risks</w:t>
      </w:r>
      <w:r w:rsidRPr="00677EC2">
        <w:rPr>
          <w:vertAlign w:val="superscript"/>
          <w:lang w:eastAsia="en-GB"/>
        </w:rPr>
        <w:footnoteReference w:id="410"/>
      </w:r>
      <w:r w:rsidR="00580D9C">
        <w:rPr>
          <w:lang w:eastAsia="en-GB"/>
        </w:rPr>
        <w:t xml:space="preserve"> – </w:t>
      </w:r>
      <w:r w:rsidRPr="00677EC2">
        <w:rPr>
          <w:lang w:eastAsia="en-GB"/>
        </w:rPr>
        <w:t xml:space="preserve">all to the detriment of pregnant women’s human rights. Furthermore, </w:t>
      </w:r>
      <w:proofErr w:type="spellStart"/>
      <w:r w:rsidRPr="00677EC2">
        <w:rPr>
          <w:lang w:eastAsia="en-GB"/>
        </w:rPr>
        <w:t>fetal</w:t>
      </w:r>
      <w:proofErr w:type="spellEnd"/>
      <w:r w:rsidRPr="00677EC2">
        <w:rPr>
          <w:lang w:eastAsia="en-GB"/>
        </w:rPr>
        <w:t xml:space="preserve"> and </w:t>
      </w:r>
      <w:proofErr w:type="spellStart"/>
      <w:r w:rsidRPr="00677EC2">
        <w:rPr>
          <w:lang w:eastAsia="en-GB"/>
        </w:rPr>
        <w:t>newborn</w:t>
      </w:r>
      <w:proofErr w:type="spellEnd"/>
      <w:r w:rsidRPr="00677EC2">
        <w:rPr>
          <w:lang w:eastAsia="en-GB"/>
        </w:rPr>
        <w:t xml:space="preserve"> health is not promoted </w:t>
      </w:r>
      <w:r w:rsidR="00A3293D">
        <w:rPr>
          <w:lang w:eastAsia="en-GB"/>
        </w:rPr>
        <w:t xml:space="preserve">through punitive measures </w:t>
      </w:r>
      <w:r w:rsidRPr="00677EC2">
        <w:rPr>
          <w:lang w:eastAsia="en-GB"/>
        </w:rPr>
        <w:t>but rather placed in jeopardy when pregnant women face crimi</w:t>
      </w:r>
      <w:r>
        <w:rPr>
          <w:lang w:eastAsia="en-GB"/>
        </w:rPr>
        <w:t xml:space="preserve">nal charges and incarceration. </w:t>
      </w:r>
    </w:p>
    <w:p w14:paraId="17D3F48A" w14:textId="77777777" w:rsidR="00D32413" w:rsidRDefault="00677EC2" w:rsidP="00D32413">
      <w:pPr>
        <w:pStyle w:val="RTBodyText"/>
        <w:rPr>
          <w:lang w:eastAsia="en-GB"/>
        </w:rPr>
      </w:pPr>
      <w:r w:rsidRPr="00677EC2">
        <w:rPr>
          <w:lang w:eastAsia="en-GB"/>
        </w:rPr>
        <w:t xml:space="preserve">Rather than rely on criminal laws to attempt to control and punish drug use during pregnancy, the US government must promote the health and well-being of pregnant women by ensuring access to prenatal </w:t>
      </w:r>
      <w:r w:rsidR="00CF7C14">
        <w:rPr>
          <w:lang w:eastAsia="en-GB"/>
        </w:rPr>
        <w:t>healthcare</w:t>
      </w:r>
      <w:r w:rsidRPr="00677EC2">
        <w:rPr>
          <w:lang w:eastAsia="en-GB"/>
        </w:rPr>
        <w:t xml:space="preserve"> and drug treatment programs.</w:t>
      </w:r>
    </w:p>
    <w:p w14:paraId="02D778B7" w14:textId="7710E238" w:rsidR="00331381" w:rsidRDefault="00D32413" w:rsidP="00D32413">
      <w:pPr>
        <w:pStyle w:val="RTBodyText"/>
        <w:rPr>
          <w:lang w:eastAsia="en-GB"/>
        </w:rPr>
      </w:pPr>
      <w:r w:rsidRPr="00677EC2">
        <w:rPr>
          <w:lang w:eastAsia="en-GB"/>
        </w:rPr>
        <w:t>In</w:t>
      </w:r>
      <w:r w:rsidR="00677EC2" w:rsidRPr="00677EC2">
        <w:rPr>
          <w:lang w:eastAsia="en-GB"/>
        </w:rPr>
        <w:t xml:space="preserve"> the end, pregnant women who are dependent on drugs need </w:t>
      </w:r>
      <w:proofErr w:type="gramStart"/>
      <w:r w:rsidR="00677EC2" w:rsidRPr="00677EC2">
        <w:rPr>
          <w:lang w:eastAsia="en-GB"/>
        </w:rPr>
        <w:t>support,</w:t>
      </w:r>
      <w:proofErr w:type="gramEnd"/>
      <w:r w:rsidR="00677EC2" w:rsidRPr="00677EC2">
        <w:rPr>
          <w:lang w:eastAsia="en-GB"/>
        </w:rPr>
        <w:t xml:space="preserve"> assistance and access to </w:t>
      </w:r>
      <w:r w:rsidR="00CF7C14">
        <w:rPr>
          <w:lang w:eastAsia="en-GB"/>
        </w:rPr>
        <w:t>healthcare</w:t>
      </w:r>
      <w:r w:rsidR="00677EC2" w:rsidRPr="00677EC2">
        <w:rPr>
          <w:lang w:eastAsia="en-GB"/>
        </w:rPr>
        <w:t xml:space="preserve"> and drug treatment services, which currently remain largely inaccessible for them</w:t>
      </w:r>
      <w:r w:rsidR="00580D9C">
        <w:rPr>
          <w:lang w:eastAsia="en-GB"/>
        </w:rPr>
        <w:t xml:space="preserve">, they should not receive </w:t>
      </w:r>
      <w:r w:rsidR="00677EC2" w:rsidRPr="00677EC2">
        <w:rPr>
          <w:lang w:eastAsia="en-GB"/>
        </w:rPr>
        <w:t>punishment</w:t>
      </w:r>
      <w:r w:rsidR="00580D9C">
        <w:rPr>
          <w:lang w:eastAsia="en-GB"/>
        </w:rPr>
        <w:t>.</w:t>
      </w:r>
    </w:p>
    <w:p w14:paraId="4121A656" w14:textId="77777777" w:rsidR="00331381" w:rsidRDefault="00331381" w:rsidP="00D32413">
      <w:pPr>
        <w:pStyle w:val="RTBodyText"/>
        <w:rPr>
          <w:lang w:eastAsia="en-GB"/>
        </w:rPr>
      </w:pPr>
    </w:p>
    <w:p w14:paraId="264D421B" w14:textId="77777777" w:rsidR="00331381" w:rsidRDefault="00331381" w:rsidP="001B52F6">
      <w:pPr>
        <w:pStyle w:val="RTBodyText"/>
        <w:rPr>
          <w:lang w:eastAsia="en-GB"/>
        </w:rPr>
      </w:pPr>
    </w:p>
    <w:p w14:paraId="1E77F913" w14:textId="77777777" w:rsidR="00D433CE" w:rsidRDefault="00D433CE" w:rsidP="00677EC2">
      <w:pPr>
        <w:pStyle w:val="RTBodyText"/>
        <w:rPr>
          <w:lang w:eastAsia="en-GB"/>
        </w:rPr>
      </w:pPr>
    </w:p>
    <w:p w14:paraId="7B9AFEFA" w14:textId="77777777" w:rsidR="00D433CE" w:rsidRDefault="00D433CE" w:rsidP="00677EC2">
      <w:pPr>
        <w:pStyle w:val="RTBodyText"/>
        <w:rPr>
          <w:lang w:eastAsia="en-GB"/>
        </w:rPr>
      </w:pPr>
    </w:p>
    <w:p w14:paraId="0434BC0D" w14:textId="77777777" w:rsidR="00D433CE" w:rsidRPr="00677EC2" w:rsidRDefault="00D433CE" w:rsidP="00677EC2">
      <w:pPr>
        <w:pStyle w:val="RTBodyText"/>
        <w:rPr>
          <w:lang w:eastAsia="en-GB"/>
        </w:rPr>
      </w:pPr>
    </w:p>
    <w:p w14:paraId="6713128A" w14:textId="7CEDC605" w:rsidR="009F4CE4" w:rsidRDefault="009F4CE4" w:rsidP="0034157E">
      <w:pPr>
        <w:pStyle w:val="RTSubheadinglightCAPS"/>
      </w:pPr>
    </w:p>
    <w:p w14:paraId="1CE5E601" w14:textId="48D2A135" w:rsidR="00677EC2" w:rsidDel="00331381" w:rsidRDefault="00D433CE" w:rsidP="0034157E">
      <w:pPr>
        <w:pStyle w:val="RTSubheadinglightCAPS"/>
      </w:pPr>
      <w:r w:rsidRPr="00D433CE">
        <w:lastRenderedPageBreak/>
        <w:t>R</w:t>
      </w:r>
      <w:r w:rsidRPr="00D433CE" w:rsidDel="00331381">
        <w:t>ECOMME</w:t>
      </w:r>
      <w:r w:rsidR="009F4CE4" w:rsidDel="00331381">
        <w:t>NDATIONS</w:t>
      </w:r>
      <w:r w:rsidR="0034157E" w:rsidDel="00331381">
        <w:t xml:space="preserve"> </w:t>
      </w:r>
      <w:r w:rsidR="009F4CE4" w:rsidDel="00331381">
        <w:t xml:space="preserve">to </w:t>
      </w:r>
      <w:r w:rsidR="0034157E" w:rsidDel="00331381">
        <w:t>Sta</w:t>
      </w:r>
      <w:r w:rsidR="009F4CE4" w:rsidDel="00331381">
        <w:t>TE &amp;</w:t>
      </w:r>
      <w:r w:rsidRPr="00D433CE" w:rsidDel="00331381">
        <w:t xml:space="preserve"> FEDERAL </w:t>
      </w:r>
      <w:r w:rsidR="0034157E" w:rsidDel="00331381">
        <w:t>authorities</w:t>
      </w:r>
    </w:p>
    <w:p w14:paraId="0E6BAD51" w14:textId="77777777" w:rsidR="00D433CE" w:rsidRDefault="00D433CE" w:rsidP="00D433CE">
      <w:pPr>
        <w:pStyle w:val="RTSmallheadingCAPS"/>
      </w:pPr>
    </w:p>
    <w:p w14:paraId="67C666B7" w14:textId="4012449F" w:rsidR="00D433CE" w:rsidRPr="002A3006" w:rsidRDefault="00225DAE" w:rsidP="001B52F6">
      <w:pPr>
        <w:pStyle w:val="RTSmallheadingCAPS"/>
      </w:pPr>
      <w:r w:rsidRPr="002A3006">
        <w:t>healthcare services</w:t>
      </w:r>
    </w:p>
    <w:p w14:paraId="68CD24D0" w14:textId="664A79AA" w:rsidR="00D433CE" w:rsidRPr="00D433CE" w:rsidRDefault="00D433CE" w:rsidP="00D433CE">
      <w:pPr>
        <w:pStyle w:val="RTBulletText"/>
        <w:rPr>
          <w:lang w:eastAsia="en-GB"/>
        </w:rPr>
      </w:pPr>
      <w:r w:rsidRPr="00D433CE">
        <w:rPr>
          <w:lang w:eastAsia="en-GB"/>
        </w:rPr>
        <w:t xml:space="preserve">Ensure that healthcare information and services, including sexual and reproductive </w:t>
      </w:r>
      <w:r w:rsidR="00CF7C14">
        <w:rPr>
          <w:lang w:eastAsia="en-GB"/>
        </w:rPr>
        <w:t>healthcare</w:t>
      </w:r>
      <w:r w:rsidRPr="00D433CE">
        <w:rPr>
          <w:lang w:eastAsia="en-GB"/>
        </w:rPr>
        <w:t>, are available, accessible, acceptable and of good quality throughout an individual’s lifetime.</w:t>
      </w:r>
    </w:p>
    <w:p w14:paraId="1F2C2BAC" w14:textId="53E4C33B" w:rsidR="00D433CE" w:rsidRPr="00D433CE" w:rsidRDefault="00D433CE" w:rsidP="00D433CE">
      <w:pPr>
        <w:pStyle w:val="RTBulletText"/>
        <w:rPr>
          <w:lang w:eastAsia="en-GB"/>
        </w:rPr>
      </w:pPr>
      <w:r w:rsidRPr="00D433CE">
        <w:rPr>
          <w:lang w:eastAsia="en-GB"/>
        </w:rPr>
        <w:t xml:space="preserve">Ensure that gaps in the healthcare system are eliminated so that all communities have access to comprehensive, quality treatment and services. </w:t>
      </w:r>
    </w:p>
    <w:p w14:paraId="5CE3F51E" w14:textId="70110289" w:rsidR="00D433CE" w:rsidRPr="00D433CE" w:rsidRDefault="00D433CE" w:rsidP="00D433CE">
      <w:pPr>
        <w:pStyle w:val="RTBulletText"/>
        <w:rPr>
          <w:lang w:eastAsia="en-GB"/>
        </w:rPr>
      </w:pPr>
      <w:r w:rsidRPr="00D433CE">
        <w:rPr>
          <w:lang w:eastAsia="en-GB"/>
        </w:rPr>
        <w:t xml:space="preserve">Expand access to healthcare through </w:t>
      </w:r>
      <w:r w:rsidR="00225DAE">
        <w:rPr>
          <w:lang w:eastAsia="en-GB"/>
        </w:rPr>
        <w:t xml:space="preserve">increased funding for </w:t>
      </w:r>
      <w:r w:rsidRPr="00D433CE">
        <w:rPr>
          <w:lang w:eastAsia="en-GB"/>
        </w:rPr>
        <w:t>public</w:t>
      </w:r>
      <w:r w:rsidR="00225DAE">
        <w:rPr>
          <w:lang w:eastAsia="en-GB"/>
        </w:rPr>
        <w:t xml:space="preserve"> healthcare</w:t>
      </w:r>
      <w:r w:rsidRPr="00D433CE">
        <w:rPr>
          <w:lang w:eastAsia="en-GB"/>
        </w:rPr>
        <w:t xml:space="preserve"> systems. </w:t>
      </w:r>
    </w:p>
    <w:p w14:paraId="0C64D6AD" w14:textId="522A5F99" w:rsidR="00D433CE" w:rsidRPr="00D433CE" w:rsidRDefault="00D433CE" w:rsidP="00D433CE">
      <w:pPr>
        <w:pStyle w:val="RTBulletText"/>
        <w:rPr>
          <w:lang w:eastAsia="en-GB"/>
        </w:rPr>
      </w:pPr>
      <w:r w:rsidRPr="00D433CE">
        <w:rPr>
          <w:lang w:eastAsia="en-GB"/>
        </w:rPr>
        <w:t>Ensure that no one is denied access to healthcare services by policies or practices that have the purpose or effect of discriminating on grounds such as gender, race, ethnicity</w:t>
      </w:r>
      <w:r w:rsidR="00CF3598">
        <w:rPr>
          <w:lang w:eastAsia="en-GB"/>
        </w:rPr>
        <w:t xml:space="preserve"> </w:t>
      </w:r>
      <w:r w:rsidRPr="00D433CE">
        <w:rPr>
          <w:lang w:eastAsia="en-GB"/>
        </w:rPr>
        <w:t>or the ability to pay.</w:t>
      </w:r>
    </w:p>
    <w:p w14:paraId="0C309AA3" w14:textId="6DC568E7" w:rsidR="00D433CE" w:rsidRPr="00D433CE" w:rsidRDefault="00D433CE" w:rsidP="00D433CE">
      <w:pPr>
        <w:pStyle w:val="RTBulletText"/>
        <w:rPr>
          <w:lang w:eastAsia="en-GB"/>
        </w:rPr>
      </w:pPr>
      <w:r w:rsidRPr="00D433CE">
        <w:rPr>
          <w:lang w:eastAsia="en-GB"/>
        </w:rPr>
        <w:t xml:space="preserve">Adopt guidelines to increase awareness about informed consent to ensure the requirements of informed consent are observed in all treatment settings, including </w:t>
      </w:r>
      <w:r w:rsidR="00A3293D">
        <w:rPr>
          <w:lang w:eastAsia="en-GB"/>
        </w:rPr>
        <w:t xml:space="preserve">with regard to </w:t>
      </w:r>
      <w:r w:rsidRPr="00D433CE">
        <w:rPr>
          <w:lang w:eastAsia="en-GB"/>
        </w:rPr>
        <w:t xml:space="preserve">the right to refuse treatment and to not be subjected to coerced or compulsory treatment. </w:t>
      </w:r>
    </w:p>
    <w:p w14:paraId="3FA913E4" w14:textId="77777777" w:rsidR="00D433CE" w:rsidRPr="00D433CE" w:rsidRDefault="00D433CE" w:rsidP="00D433CE">
      <w:pPr>
        <w:pStyle w:val="RTBulletText"/>
        <w:rPr>
          <w:lang w:eastAsia="en-GB"/>
        </w:rPr>
      </w:pPr>
      <w:r w:rsidRPr="00D433CE">
        <w:rPr>
          <w:lang w:eastAsia="en-GB"/>
        </w:rPr>
        <w:t xml:space="preserve">Implement training and guidelines to raise awareness of healthcare providers about patients’ human rights, including respect for sexual and reproductive health and women’s autonomy and decision-making. </w:t>
      </w:r>
    </w:p>
    <w:p w14:paraId="546CDFE7" w14:textId="77777777" w:rsidR="00D433CE" w:rsidRPr="00D433CE" w:rsidRDefault="00D433CE" w:rsidP="00D433CE">
      <w:pPr>
        <w:pStyle w:val="RTBodyText"/>
        <w:rPr>
          <w:lang w:eastAsia="en-GB"/>
        </w:rPr>
      </w:pPr>
      <w:r w:rsidRPr="00D433CE">
        <w:rPr>
          <w:lang w:eastAsia="en-GB"/>
        </w:rPr>
        <w:tab/>
      </w:r>
    </w:p>
    <w:p w14:paraId="07DB832C" w14:textId="1EB6C3C0" w:rsidR="00D433CE" w:rsidRPr="00D433CE" w:rsidRDefault="00D433CE" w:rsidP="007754F5">
      <w:pPr>
        <w:pStyle w:val="RTSmallheadingCAPS"/>
      </w:pPr>
      <w:r w:rsidRPr="00D433CE">
        <w:t>Drug testing and treatment</w:t>
      </w:r>
    </w:p>
    <w:p w14:paraId="4622BCBD" w14:textId="26579F77" w:rsidR="00D433CE" w:rsidRPr="00D433CE" w:rsidRDefault="00D433CE" w:rsidP="00D433CE">
      <w:pPr>
        <w:pStyle w:val="RTBulletText"/>
        <w:rPr>
          <w:lang w:eastAsia="en-GB"/>
        </w:rPr>
      </w:pPr>
      <w:r w:rsidRPr="00D433CE">
        <w:rPr>
          <w:lang w:eastAsia="en-GB"/>
        </w:rPr>
        <w:t xml:space="preserve">Design drug treatment programs to prioritize access to pregnant </w:t>
      </w:r>
      <w:r>
        <w:rPr>
          <w:lang w:eastAsia="en-GB"/>
        </w:rPr>
        <w:t>women and disadvantaged groups.</w:t>
      </w:r>
    </w:p>
    <w:p w14:paraId="0E9D8476" w14:textId="70575CD6" w:rsidR="00D433CE" w:rsidRPr="00D433CE" w:rsidRDefault="00D433CE" w:rsidP="00D433CE">
      <w:pPr>
        <w:pStyle w:val="RTBulletText"/>
        <w:rPr>
          <w:lang w:eastAsia="en-GB"/>
        </w:rPr>
      </w:pPr>
      <w:r w:rsidRPr="00D433CE">
        <w:rPr>
          <w:lang w:eastAsia="en-GB"/>
        </w:rPr>
        <w:t xml:space="preserve">Ensure access to affordable, gender-responsive drug dependence treatment, harm reduction, and other drug-related </w:t>
      </w:r>
      <w:r w:rsidR="00CF7C14">
        <w:rPr>
          <w:lang w:eastAsia="en-GB"/>
        </w:rPr>
        <w:t>healthcare</w:t>
      </w:r>
      <w:r w:rsidRPr="00D433CE">
        <w:rPr>
          <w:lang w:eastAsia="en-GB"/>
        </w:rPr>
        <w:t xml:space="preserve"> for women without discrimination.</w:t>
      </w:r>
    </w:p>
    <w:p w14:paraId="38ECD2D7" w14:textId="6CDFCAEB" w:rsidR="00D433CE" w:rsidRPr="00D433CE" w:rsidRDefault="00D433CE" w:rsidP="00D433CE">
      <w:pPr>
        <w:pStyle w:val="RTBulletText"/>
        <w:rPr>
          <w:lang w:eastAsia="en-GB"/>
        </w:rPr>
      </w:pPr>
      <w:r w:rsidRPr="00D433CE">
        <w:rPr>
          <w:lang w:eastAsia="en-GB"/>
        </w:rPr>
        <w:t>Implement training and guidelines to ensure drug testing of pregnant women is only conducted with informed consent, including an explanation of the potential ramifications of a positive test.</w:t>
      </w:r>
    </w:p>
    <w:p w14:paraId="5E59AF64" w14:textId="3BC457F4" w:rsidR="00D433CE" w:rsidRPr="00D433CE" w:rsidRDefault="00D433CE" w:rsidP="00D433CE">
      <w:pPr>
        <w:pStyle w:val="RTBulletText"/>
        <w:rPr>
          <w:lang w:eastAsia="en-GB"/>
        </w:rPr>
      </w:pPr>
      <w:r w:rsidRPr="00D433CE">
        <w:rPr>
          <w:lang w:eastAsia="en-GB"/>
        </w:rPr>
        <w:t xml:space="preserve">Ensure that drug treatment and rehabilitation programs for people who use drugs are evidence-based, voluntary and safeguarded by informed consent. </w:t>
      </w:r>
    </w:p>
    <w:p w14:paraId="74B64414" w14:textId="0CB6F904" w:rsidR="00D433CE" w:rsidRPr="00D433CE" w:rsidRDefault="00D433CE" w:rsidP="00D433CE">
      <w:pPr>
        <w:pStyle w:val="RTBulletText"/>
        <w:rPr>
          <w:lang w:eastAsia="en-GB"/>
        </w:rPr>
      </w:pPr>
      <w:r w:rsidRPr="00D433CE">
        <w:rPr>
          <w:lang w:eastAsia="en-GB"/>
        </w:rPr>
        <w:t>Conduct a thorough analysis of drug policies to assess the potential discriminatory effect on pregnant women and marginalized and disadvantaged communities. Accordingly, amend or repeal laws and practices that reinforce stigma and discrimination against people who use drugs.</w:t>
      </w:r>
    </w:p>
    <w:p w14:paraId="3E939A4A" w14:textId="66AE7297" w:rsidR="00D433CE" w:rsidRPr="00D433CE" w:rsidRDefault="00D433CE" w:rsidP="00D433CE">
      <w:pPr>
        <w:pStyle w:val="RTBulletText"/>
        <w:rPr>
          <w:lang w:eastAsia="en-GB"/>
        </w:rPr>
      </w:pPr>
      <w:r w:rsidRPr="00D433CE">
        <w:rPr>
          <w:lang w:eastAsia="en-GB"/>
        </w:rPr>
        <w:t xml:space="preserve">Develop specific guidelines and training for </w:t>
      </w:r>
      <w:r w:rsidR="00CF7C14">
        <w:rPr>
          <w:lang w:eastAsia="en-GB"/>
        </w:rPr>
        <w:t>healthcare</w:t>
      </w:r>
      <w:r w:rsidRPr="00D433CE">
        <w:rPr>
          <w:lang w:eastAsia="en-GB"/>
        </w:rPr>
        <w:t xml:space="preserve"> professionals and administrators on drug treatment during pregnancy, highlighting the obligation to treat all patients with respect and without discrimination and t</w:t>
      </w:r>
      <w:r>
        <w:rPr>
          <w:lang w:eastAsia="en-GB"/>
        </w:rPr>
        <w:t xml:space="preserve">o </w:t>
      </w:r>
      <w:r w:rsidR="00A3293D">
        <w:rPr>
          <w:lang w:eastAsia="en-GB"/>
        </w:rPr>
        <w:t xml:space="preserve">ensure </w:t>
      </w:r>
      <w:r>
        <w:rPr>
          <w:lang w:eastAsia="en-GB"/>
        </w:rPr>
        <w:t>the right to privacy.</w:t>
      </w:r>
    </w:p>
    <w:p w14:paraId="3F92E6FE" w14:textId="77777777" w:rsidR="00D433CE" w:rsidRPr="00D433CE" w:rsidRDefault="00D433CE" w:rsidP="00D433CE">
      <w:pPr>
        <w:pStyle w:val="RTBulletText"/>
        <w:rPr>
          <w:lang w:eastAsia="en-GB"/>
        </w:rPr>
      </w:pPr>
      <w:r w:rsidRPr="00D433CE">
        <w:rPr>
          <w:lang w:eastAsia="en-GB"/>
        </w:rPr>
        <w:t>Ensure pregnant women in treatment programs have access to fair trial rights including timely access to legal representation.</w:t>
      </w:r>
    </w:p>
    <w:p w14:paraId="01B47D83" w14:textId="77777777" w:rsidR="00D433CE" w:rsidRPr="00D433CE" w:rsidRDefault="00D433CE" w:rsidP="00D433CE">
      <w:pPr>
        <w:pStyle w:val="RTBodyText"/>
        <w:rPr>
          <w:lang w:eastAsia="en-GB"/>
        </w:rPr>
      </w:pPr>
    </w:p>
    <w:p w14:paraId="043FB8E6" w14:textId="4D6EFFE5" w:rsidR="00D433CE" w:rsidRPr="00D433CE" w:rsidRDefault="00D433CE" w:rsidP="001B52F6">
      <w:pPr>
        <w:pStyle w:val="RTSmallheadingCAPS"/>
      </w:pPr>
      <w:r w:rsidRPr="00D433CE">
        <w:t>Child welfare policies</w:t>
      </w:r>
    </w:p>
    <w:p w14:paraId="25E7E1C3" w14:textId="53CA61DC" w:rsidR="00D433CE" w:rsidRPr="00D433CE" w:rsidRDefault="00D433CE" w:rsidP="00D433CE">
      <w:pPr>
        <w:pStyle w:val="RTBulletText"/>
        <w:rPr>
          <w:lang w:eastAsia="en-GB"/>
        </w:rPr>
      </w:pPr>
      <w:r w:rsidRPr="00D433CE">
        <w:rPr>
          <w:lang w:eastAsia="en-GB"/>
        </w:rPr>
        <w:t xml:space="preserve">Amend child welfare policies and procedures on the basis of evidence </w:t>
      </w:r>
      <w:r w:rsidR="00A3293D">
        <w:rPr>
          <w:lang w:eastAsia="en-GB"/>
        </w:rPr>
        <w:t>with the aim to promote</w:t>
      </w:r>
      <w:r w:rsidRPr="00D433CE">
        <w:rPr>
          <w:lang w:eastAsia="en-GB"/>
        </w:rPr>
        <w:t xml:space="preserve"> health and human rights. </w:t>
      </w:r>
    </w:p>
    <w:p w14:paraId="07C5D04D" w14:textId="5658B010" w:rsidR="00D433CE" w:rsidRPr="00D433CE" w:rsidRDefault="00D433CE" w:rsidP="00D433CE">
      <w:pPr>
        <w:pStyle w:val="RTBulletText"/>
        <w:rPr>
          <w:lang w:eastAsia="en-GB"/>
        </w:rPr>
      </w:pPr>
      <w:r w:rsidRPr="00D433CE">
        <w:rPr>
          <w:lang w:eastAsia="en-GB"/>
        </w:rPr>
        <w:t xml:space="preserve">Assess definitions of child abuse and neglect to ensure they are based in evidence rather than the presumption that prenatal drug </w:t>
      </w:r>
      <w:r w:rsidR="00225DAE">
        <w:rPr>
          <w:lang w:eastAsia="en-GB"/>
        </w:rPr>
        <w:t>exposure</w:t>
      </w:r>
      <w:r w:rsidRPr="00D433CE">
        <w:rPr>
          <w:lang w:eastAsia="en-GB"/>
        </w:rPr>
        <w:t xml:space="preserve"> is child abuse short of any other indication. </w:t>
      </w:r>
    </w:p>
    <w:p w14:paraId="4AD4CF9F" w14:textId="77777777" w:rsidR="00D433CE" w:rsidRPr="00D433CE" w:rsidRDefault="00D433CE" w:rsidP="00D433CE">
      <w:pPr>
        <w:pStyle w:val="RTBulletText"/>
        <w:rPr>
          <w:lang w:eastAsia="en-GB"/>
        </w:rPr>
      </w:pPr>
      <w:r w:rsidRPr="00D433CE">
        <w:rPr>
          <w:lang w:eastAsia="en-GB"/>
        </w:rPr>
        <w:t xml:space="preserve">Expand access to residential drug treatment </w:t>
      </w:r>
      <w:proofErr w:type="spellStart"/>
      <w:r w:rsidRPr="00D433CE">
        <w:rPr>
          <w:lang w:eastAsia="en-GB"/>
        </w:rPr>
        <w:t>centers</w:t>
      </w:r>
      <w:proofErr w:type="spellEnd"/>
      <w:r w:rsidRPr="00D433CE">
        <w:rPr>
          <w:lang w:eastAsia="en-GB"/>
        </w:rPr>
        <w:t xml:space="preserve"> that prioritize admission of pregnant women and allow children to stay with their mothers.</w:t>
      </w:r>
    </w:p>
    <w:p w14:paraId="5C14647F" w14:textId="77777777" w:rsidR="007754F5" w:rsidRDefault="007754F5" w:rsidP="00D433CE">
      <w:pPr>
        <w:pStyle w:val="RTSubheadinglightCAPS"/>
        <w:rPr>
          <w:lang w:eastAsia="en-GB"/>
        </w:rPr>
      </w:pPr>
    </w:p>
    <w:p w14:paraId="75C680E6" w14:textId="77375AD3" w:rsidR="00D433CE" w:rsidRPr="00D433CE" w:rsidRDefault="00D433CE" w:rsidP="00D433CE">
      <w:pPr>
        <w:pStyle w:val="RTSubheadinglightCAPS"/>
        <w:rPr>
          <w:lang w:eastAsia="en-GB"/>
        </w:rPr>
      </w:pPr>
      <w:r w:rsidRPr="00D433CE">
        <w:rPr>
          <w:lang w:eastAsia="en-GB"/>
        </w:rPr>
        <w:lastRenderedPageBreak/>
        <w:t xml:space="preserve">Recommendations to federal </w:t>
      </w:r>
      <w:r w:rsidR="0034157E">
        <w:rPr>
          <w:lang w:eastAsia="en-GB"/>
        </w:rPr>
        <w:t>authorities</w:t>
      </w:r>
    </w:p>
    <w:p w14:paraId="5B4BF642" w14:textId="21A45248" w:rsidR="00D433CE" w:rsidRPr="00D433CE" w:rsidRDefault="00D433CE" w:rsidP="00D433CE">
      <w:pPr>
        <w:pStyle w:val="RTBodyText"/>
        <w:rPr>
          <w:lang w:eastAsia="en-GB"/>
        </w:rPr>
      </w:pPr>
    </w:p>
    <w:p w14:paraId="20A4E841" w14:textId="496B0AE8" w:rsidR="00D433CE" w:rsidRPr="00D433CE" w:rsidRDefault="00D433CE" w:rsidP="0034157E">
      <w:pPr>
        <w:pStyle w:val="RTBulletText"/>
        <w:rPr>
          <w:lang w:eastAsia="en-GB"/>
        </w:rPr>
      </w:pPr>
      <w:r w:rsidRPr="00D433CE">
        <w:rPr>
          <w:lang w:eastAsia="en-GB"/>
        </w:rPr>
        <w:t>Ratify the Convention on the Elimination of All Forms of Discrimination against Women (CEDAW) and its Optional Protocol.</w:t>
      </w:r>
      <w:r>
        <w:rPr>
          <w:lang w:eastAsia="en-GB"/>
        </w:rPr>
        <w:t xml:space="preserve"> </w:t>
      </w:r>
    </w:p>
    <w:p w14:paraId="42041EE7" w14:textId="2A8E49B6" w:rsidR="00D433CE" w:rsidRPr="00D433CE" w:rsidRDefault="00D433CE" w:rsidP="0034157E">
      <w:pPr>
        <w:pStyle w:val="RTBulletText"/>
        <w:rPr>
          <w:lang w:eastAsia="en-GB"/>
        </w:rPr>
      </w:pPr>
      <w:r w:rsidRPr="00D433CE">
        <w:rPr>
          <w:lang w:eastAsia="en-GB"/>
        </w:rPr>
        <w:t>Ratify the International Covenant on Economic, Social and Cultural Rights (ICESCR) and its Optional Protocol.</w:t>
      </w:r>
    </w:p>
    <w:p w14:paraId="4A1D1A02" w14:textId="304455B6" w:rsidR="00D433CE" w:rsidRPr="00D433CE" w:rsidRDefault="00D433CE" w:rsidP="0034157E">
      <w:pPr>
        <w:pStyle w:val="RTBulletText"/>
        <w:rPr>
          <w:lang w:eastAsia="en-GB"/>
        </w:rPr>
      </w:pPr>
      <w:r w:rsidRPr="00D433CE">
        <w:rPr>
          <w:lang w:eastAsia="en-GB"/>
        </w:rPr>
        <w:t xml:space="preserve">Review maternal healthcare </w:t>
      </w:r>
      <w:r w:rsidR="0026621C">
        <w:rPr>
          <w:lang w:eastAsia="en-GB"/>
        </w:rPr>
        <w:t xml:space="preserve">policies and practices </w:t>
      </w:r>
      <w:r w:rsidRPr="00D433CE">
        <w:rPr>
          <w:lang w:eastAsia="en-GB"/>
        </w:rPr>
        <w:t>and the health system more</w:t>
      </w:r>
      <w:r w:rsidR="00E44332">
        <w:rPr>
          <w:lang w:eastAsia="en-GB"/>
        </w:rPr>
        <w:t xml:space="preserve"> broadly to ensure compliance with human rights standards.</w:t>
      </w:r>
      <w:r w:rsidRPr="00D433CE">
        <w:rPr>
          <w:lang w:eastAsia="en-GB"/>
        </w:rPr>
        <w:t xml:space="preserve"> </w:t>
      </w:r>
    </w:p>
    <w:p w14:paraId="597B9C03" w14:textId="71D5260A" w:rsidR="00D433CE" w:rsidRPr="00D433CE" w:rsidRDefault="00D433CE" w:rsidP="0034157E">
      <w:pPr>
        <w:pStyle w:val="RTBulletText"/>
        <w:rPr>
          <w:lang w:eastAsia="en-GB"/>
        </w:rPr>
      </w:pPr>
      <w:r w:rsidRPr="00D433CE">
        <w:rPr>
          <w:lang w:eastAsia="en-GB"/>
        </w:rPr>
        <w:t xml:space="preserve">Increase federal funding for drug prevention and treatment programs that are evidence-based and respect patient autonomy and safeguard against discrimination. </w:t>
      </w:r>
    </w:p>
    <w:p w14:paraId="761CFE65" w14:textId="192148AB" w:rsidR="00D433CE" w:rsidRPr="00D433CE" w:rsidRDefault="00D433CE" w:rsidP="00D433CE">
      <w:pPr>
        <w:pStyle w:val="RTBodyText"/>
        <w:rPr>
          <w:lang w:eastAsia="en-GB"/>
        </w:rPr>
      </w:pPr>
    </w:p>
    <w:p w14:paraId="51586AB1" w14:textId="01002693" w:rsidR="00D433CE" w:rsidRPr="00D433CE" w:rsidRDefault="00D433CE" w:rsidP="00D433CE">
      <w:pPr>
        <w:pStyle w:val="RTSubheadinglightCAPS"/>
      </w:pPr>
      <w:r w:rsidRPr="00D433CE">
        <w:t xml:space="preserve">Recommendations to state </w:t>
      </w:r>
      <w:r w:rsidR="0034157E">
        <w:t>authorities</w:t>
      </w:r>
    </w:p>
    <w:p w14:paraId="4801E7D6" w14:textId="7DD4885A" w:rsidR="00D433CE" w:rsidRPr="00D433CE" w:rsidRDefault="00D433CE" w:rsidP="00D433CE">
      <w:pPr>
        <w:pStyle w:val="RTBodyText"/>
        <w:rPr>
          <w:lang w:eastAsia="en-GB"/>
        </w:rPr>
      </w:pPr>
    </w:p>
    <w:p w14:paraId="6D071ED4" w14:textId="33815B55" w:rsidR="00D433CE" w:rsidRPr="00D433CE" w:rsidRDefault="00D433CE" w:rsidP="0034157E">
      <w:pPr>
        <w:pStyle w:val="RTBulletText"/>
        <w:rPr>
          <w:lang w:eastAsia="en-GB"/>
        </w:rPr>
      </w:pPr>
      <w:r w:rsidRPr="00D433CE">
        <w:rPr>
          <w:lang w:eastAsia="en-GB"/>
        </w:rPr>
        <w:t>Repeal or amend “</w:t>
      </w:r>
      <w:proofErr w:type="spellStart"/>
      <w:r w:rsidRPr="00D433CE">
        <w:rPr>
          <w:lang w:eastAsia="en-GB"/>
        </w:rPr>
        <w:t>fetal</w:t>
      </w:r>
      <w:proofErr w:type="spellEnd"/>
      <w:r w:rsidRPr="00D433CE">
        <w:rPr>
          <w:lang w:eastAsia="en-GB"/>
        </w:rPr>
        <w:t xml:space="preserve"> assault” </w:t>
      </w:r>
      <w:r w:rsidR="00225DAE">
        <w:rPr>
          <w:lang w:eastAsia="en-GB"/>
        </w:rPr>
        <w:t xml:space="preserve">and similar </w:t>
      </w:r>
      <w:r w:rsidRPr="00D433CE">
        <w:rPr>
          <w:lang w:eastAsia="en-GB"/>
        </w:rPr>
        <w:t>laws that do not exempt women from</w:t>
      </w:r>
      <w:r w:rsidR="00225DAE">
        <w:rPr>
          <w:lang w:eastAsia="en-GB"/>
        </w:rPr>
        <w:t xml:space="preserve"> liability for</w:t>
      </w:r>
      <w:r w:rsidRPr="00D433CE">
        <w:rPr>
          <w:lang w:eastAsia="en-GB"/>
        </w:rPr>
        <w:t xml:space="preserve"> conduct in relation to their own pregnancies. </w:t>
      </w:r>
    </w:p>
    <w:p w14:paraId="5A1A5A21" w14:textId="04999EE7" w:rsidR="00D433CE" w:rsidRPr="00D433CE" w:rsidRDefault="00D433CE" w:rsidP="0034157E">
      <w:pPr>
        <w:pStyle w:val="RTBulletText"/>
        <w:rPr>
          <w:lang w:eastAsia="en-GB"/>
        </w:rPr>
      </w:pPr>
      <w:r w:rsidRPr="00D433CE">
        <w:rPr>
          <w:lang w:eastAsia="en-GB"/>
        </w:rPr>
        <w:t>Repeal or amend laws criminalizing pregnant women for their use of drugs and other acts in relation to their own pregnancies.</w:t>
      </w:r>
    </w:p>
    <w:p w14:paraId="79DBDDC3" w14:textId="6C6CAE96" w:rsidR="00331381" w:rsidRPr="00331381" w:rsidRDefault="00D433CE" w:rsidP="002A3006">
      <w:pPr>
        <w:pStyle w:val="RTBulletText"/>
        <w:rPr>
          <w:lang w:eastAsia="en-GB"/>
        </w:rPr>
      </w:pPr>
      <w:r w:rsidRPr="00D433CE">
        <w:rPr>
          <w:lang w:eastAsia="en-GB"/>
        </w:rPr>
        <w:t xml:space="preserve">Assess all laws that have been used to punish women for conduct in relation to their own pregnancies and amend </w:t>
      </w:r>
      <w:r w:rsidR="0026621C">
        <w:rPr>
          <w:lang w:eastAsia="en-GB"/>
        </w:rPr>
        <w:t xml:space="preserve">the laws to ensure that they cannot </w:t>
      </w:r>
      <w:r w:rsidRPr="00D433CE">
        <w:rPr>
          <w:lang w:eastAsia="en-GB"/>
        </w:rPr>
        <w:t xml:space="preserve">be used </w:t>
      </w:r>
      <w:r w:rsidR="0026621C">
        <w:rPr>
          <w:lang w:eastAsia="en-GB"/>
        </w:rPr>
        <w:t xml:space="preserve">in </w:t>
      </w:r>
      <w:r w:rsidRPr="00D433CE">
        <w:rPr>
          <w:lang w:eastAsia="en-GB"/>
        </w:rPr>
        <w:t>this way.</w:t>
      </w:r>
    </w:p>
    <w:p w14:paraId="75882C83" w14:textId="77777777" w:rsidR="00D433CE" w:rsidRPr="00D433CE" w:rsidRDefault="00D433CE" w:rsidP="00D433CE">
      <w:pPr>
        <w:pStyle w:val="RTBodyText"/>
        <w:rPr>
          <w:lang w:eastAsia="en-GB"/>
        </w:rPr>
      </w:pPr>
    </w:p>
    <w:p w14:paraId="042095B4" w14:textId="70A8FA4B" w:rsidR="00D433CE" w:rsidRDefault="00D433CE" w:rsidP="00D433CE">
      <w:pPr>
        <w:pStyle w:val="RTSubheadinglightCAPS"/>
        <w:rPr>
          <w:lang w:eastAsia="en-GB"/>
        </w:rPr>
      </w:pPr>
      <w:r w:rsidRPr="00D433CE">
        <w:rPr>
          <w:lang w:eastAsia="en-GB"/>
        </w:rPr>
        <w:t xml:space="preserve">Recommendations to Tennessee </w:t>
      </w:r>
      <w:r w:rsidR="0034157E">
        <w:rPr>
          <w:lang w:eastAsia="en-GB"/>
        </w:rPr>
        <w:t>authorities</w:t>
      </w:r>
    </w:p>
    <w:p w14:paraId="58D7D4D7" w14:textId="1D97026A" w:rsidR="0034157E" w:rsidRPr="00D433CE" w:rsidRDefault="0034157E" w:rsidP="0034157E">
      <w:pPr>
        <w:pStyle w:val="RTBodyText"/>
        <w:rPr>
          <w:lang w:eastAsia="en-GB"/>
        </w:rPr>
      </w:pPr>
    </w:p>
    <w:p w14:paraId="53B283F0" w14:textId="01B91E96" w:rsidR="00D433CE" w:rsidRPr="00D433CE" w:rsidRDefault="00714815" w:rsidP="0034157E">
      <w:pPr>
        <w:pStyle w:val="RTBulletText"/>
        <w:rPr>
          <w:lang w:eastAsia="en-GB"/>
        </w:rPr>
      </w:pPr>
      <w:r>
        <w:rPr>
          <w:lang w:eastAsia="en-GB"/>
        </w:rPr>
        <w:t>Repeal the</w:t>
      </w:r>
      <w:r w:rsidR="00D433CE" w:rsidRPr="00D433CE">
        <w:rPr>
          <w:lang w:eastAsia="en-GB"/>
        </w:rPr>
        <w:t xml:space="preserve"> “</w:t>
      </w:r>
      <w:proofErr w:type="spellStart"/>
      <w:r w:rsidR="00D433CE" w:rsidRPr="00D433CE">
        <w:rPr>
          <w:lang w:eastAsia="en-GB"/>
        </w:rPr>
        <w:t>fetal</w:t>
      </w:r>
      <w:proofErr w:type="spellEnd"/>
      <w:r w:rsidR="00D433CE" w:rsidRPr="00D433CE">
        <w:rPr>
          <w:lang w:eastAsia="en-GB"/>
        </w:rPr>
        <w:t xml:space="preserve"> assault” law</w:t>
      </w:r>
      <w:r>
        <w:rPr>
          <w:lang w:eastAsia="en-GB"/>
        </w:rPr>
        <w:t>.</w:t>
      </w:r>
    </w:p>
    <w:p w14:paraId="7CC90284" w14:textId="38045351" w:rsidR="00D433CE" w:rsidRPr="00D433CE" w:rsidRDefault="00D433CE" w:rsidP="0034157E">
      <w:pPr>
        <w:pStyle w:val="RTBulletText"/>
        <w:rPr>
          <w:lang w:eastAsia="en-GB"/>
        </w:rPr>
      </w:pPr>
      <w:r w:rsidRPr="00D433CE">
        <w:rPr>
          <w:lang w:eastAsia="en-GB"/>
        </w:rPr>
        <w:t xml:space="preserve">Increase funding for and access to drug dependence treatment, including funding for family residential treatment programs which </w:t>
      </w:r>
      <w:r w:rsidR="003B398C">
        <w:rPr>
          <w:lang w:eastAsia="en-GB"/>
        </w:rPr>
        <w:t xml:space="preserve">admit pregnant women and </w:t>
      </w:r>
      <w:r w:rsidR="009F4CE4">
        <w:rPr>
          <w:lang w:eastAsia="en-GB"/>
        </w:rPr>
        <w:t>accommodate</w:t>
      </w:r>
      <w:r w:rsidR="003B398C">
        <w:rPr>
          <w:lang w:eastAsia="en-GB"/>
        </w:rPr>
        <w:t xml:space="preserve"> their children.</w:t>
      </w:r>
    </w:p>
    <w:p w14:paraId="33EC4AB4" w14:textId="4220197B" w:rsidR="00D433CE" w:rsidRPr="00D433CE" w:rsidRDefault="00D433CE" w:rsidP="0034157E">
      <w:pPr>
        <w:pStyle w:val="RTBulletText"/>
        <w:rPr>
          <w:lang w:eastAsia="en-GB"/>
        </w:rPr>
      </w:pPr>
      <w:r w:rsidRPr="00D433CE">
        <w:rPr>
          <w:lang w:eastAsia="en-GB"/>
        </w:rPr>
        <w:t>Issue guidelines on drug testing practices to ensure pregnant women are not tested without their knowledge or consent and are aware of the ramifications of a positive test.</w:t>
      </w:r>
    </w:p>
    <w:p w14:paraId="0AFAB78E" w14:textId="38923E79" w:rsidR="00D433CE" w:rsidRPr="00D433CE" w:rsidRDefault="00D433CE" w:rsidP="0034157E">
      <w:pPr>
        <w:pStyle w:val="RTBulletText"/>
        <w:rPr>
          <w:lang w:eastAsia="en-GB"/>
        </w:rPr>
      </w:pPr>
      <w:r w:rsidRPr="00D433CE">
        <w:rPr>
          <w:lang w:eastAsia="en-GB"/>
        </w:rPr>
        <w:t xml:space="preserve">Conduct human rights education and training for law enforcement, medical providers, and </w:t>
      </w:r>
      <w:r w:rsidR="0026621C">
        <w:rPr>
          <w:lang w:eastAsia="en-GB"/>
        </w:rPr>
        <w:t>c</w:t>
      </w:r>
      <w:r w:rsidRPr="00D433CE">
        <w:rPr>
          <w:lang w:eastAsia="en-GB"/>
        </w:rPr>
        <w:t xml:space="preserve">hild </w:t>
      </w:r>
      <w:r w:rsidR="0026621C">
        <w:rPr>
          <w:lang w:eastAsia="en-GB"/>
        </w:rPr>
        <w:t>p</w:t>
      </w:r>
      <w:r w:rsidRPr="00D433CE">
        <w:rPr>
          <w:lang w:eastAsia="en-GB"/>
        </w:rPr>
        <w:t xml:space="preserve">rotective </w:t>
      </w:r>
      <w:r w:rsidR="0026621C">
        <w:rPr>
          <w:lang w:eastAsia="en-GB"/>
        </w:rPr>
        <w:t>s</w:t>
      </w:r>
      <w:r w:rsidRPr="00D433CE">
        <w:rPr>
          <w:lang w:eastAsia="en-GB"/>
        </w:rPr>
        <w:t>ervices staff.</w:t>
      </w:r>
    </w:p>
    <w:p w14:paraId="4F608619" w14:textId="5D736A0B" w:rsidR="00D433CE" w:rsidRPr="00D433CE" w:rsidRDefault="00D433CE" w:rsidP="00D433CE">
      <w:pPr>
        <w:pStyle w:val="RTBodyText"/>
        <w:rPr>
          <w:lang w:val="en-US" w:eastAsia="en-GB"/>
        </w:rPr>
      </w:pPr>
    </w:p>
    <w:p w14:paraId="450539CF" w14:textId="5C7AD44E" w:rsidR="00D433CE" w:rsidRPr="00D433CE" w:rsidRDefault="00D433CE" w:rsidP="00D433CE">
      <w:pPr>
        <w:pStyle w:val="RTSubheadinglightCAPS"/>
      </w:pPr>
      <w:r w:rsidRPr="00D433CE">
        <w:t xml:space="preserve">Recommendations to Alabama </w:t>
      </w:r>
      <w:r w:rsidR="0034157E">
        <w:t>authorities</w:t>
      </w:r>
    </w:p>
    <w:p w14:paraId="74879409" w14:textId="6F2FAA45" w:rsidR="00D433CE" w:rsidRPr="00D433CE" w:rsidRDefault="00D433CE" w:rsidP="00D433CE">
      <w:pPr>
        <w:pStyle w:val="RTBodyText"/>
        <w:rPr>
          <w:lang w:val="en-US" w:eastAsia="en-GB"/>
        </w:rPr>
      </w:pPr>
    </w:p>
    <w:p w14:paraId="12092AE1" w14:textId="3663CBEE" w:rsidR="00D433CE" w:rsidRPr="00D433CE" w:rsidRDefault="00D433CE" w:rsidP="0034157E">
      <w:pPr>
        <w:pStyle w:val="RTBulletText"/>
        <w:rPr>
          <w:lang w:eastAsia="en-GB"/>
        </w:rPr>
      </w:pPr>
      <w:r w:rsidRPr="00D433CE">
        <w:rPr>
          <w:lang w:eastAsia="en-GB"/>
        </w:rPr>
        <w:t xml:space="preserve">End </w:t>
      </w:r>
      <w:r w:rsidR="00811973">
        <w:rPr>
          <w:lang w:eastAsia="en-GB"/>
        </w:rPr>
        <w:t xml:space="preserve">the </w:t>
      </w:r>
      <w:r w:rsidRPr="00D433CE">
        <w:rPr>
          <w:lang w:eastAsia="en-GB"/>
        </w:rPr>
        <w:t xml:space="preserve">use of the “chemical endangerment law” against women in relation to their own pregnancies. </w:t>
      </w:r>
      <w:r w:rsidR="00811973">
        <w:rPr>
          <w:lang w:eastAsia="en-GB"/>
        </w:rPr>
        <w:t xml:space="preserve">Limit enforcement of this law to its original intent by halting the law’s application </w:t>
      </w:r>
      <w:r w:rsidRPr="00D433CE">
        <w:rPr>
          <w:lang w:eastAsia="en-GB"/>
        </w:rPr>
        <w:t xml:space="preserve">against pregnant women for drug use during pregnancy. </w:t>
      </w:r>
    </w:p>
    <w:p w14:paraId="226104A5" w14:textId="15BA914F" w:rsidR="00D433CE" w:rsidRPr="00D433CE" w:rsidRDefault="00D433CE" w:rsidP="0034157E">
      <w:pPr>
        <w:pStyle w:val="RTBulletText"/>
        <w:rPr>
          <w:lang w:eastAsia="en-GB"/>
        </w:rPr>
      </w:pPr>
      <w:r w:rsidRPr="00D433CE">
        <w:rPr>
          <w:lang w:eastAsia="en-GB"/>
        </w:rPr>
        <w:t>Increase funding for and access to drug dependence treatment, including funding for family residential treatment programs which admit pregnant women</w:t>
      </w:r>
      <w:r w:rsidR="009F4CE4">
        <w:rPr>
          <w:lang w:eastAsia="en-GB"/>
        </w:rPr>
        <w:t xml:space="preserve"> and accommodate their</w:t>
      </w:r>
      <w:r w:rsidR="003B398C">
        <w:rPr>
          <w:lang w:eastAsia="en-GB"/>
        </w:rPr>
        <w:t xml:space="preserve"> children</w:t>
      </w:r>
      <w:r w:rsidRPr="00D433CE">
        <w:rPr>
          <w:lang w:eastAsia="en-GB"/>
        </w:rPr>
        <w:t>.</w:t>
      </w:r>
    </w:p>
    <w:p w14:paraId="23CC4BF6" w14:textId="1466FAFC" w:rsidR="00D433CE" w:rsidRPr="00D433CE" w:rsidRDefault="00D433CE" w:rsidP="0034157E">
      <w:pPr>
        <w:pStyle w:val="RTBulletText"/>
        <w:rPr>
          <w:lang w:eastAsia="en-GB"/>
        </w:rPr>
      </w:pPr>
      <w:r w:rsidRPr="00D433CE">
        <w:rPr>
          <w:lang w:eastAsia="en-GB"/>
        </w:rPr>
        <w:lastRenderedPageBreak/>
        <w:t>Issue guidelines on drug testing practices to ensure pregnant women are not tested without their knowledge or consent and are aware of the ramifications of a positive test.</w:t>
      </w:r>
    </w:p>
    <w:p w14:paraId="6F8AEE1D" w14:textId="77B9727D" w:rsidR="00D433CE" w:rsidRPr="00D433CE" w:rsidRDefault="00D433CE" w:rsidP="0034157E">
      <w:pPr>
        <w:pStyle w:val="RTBulletText"/>
        <w:rPr>
          <w:lang w:eastAsia="en-GB"/>
        </w:rPr>
      </w:pPr>
      <w:r w:rsidRPr="00D433CE">
        <w:rPr>
          <w:lang w:eastAsia="en-GB"/>
        </w:rPr>
        <w:t xml:space="preserve">Conduct human rights education and training for law enforcement, medical providers, and </w:t>
      </w:r>
      <w:r w:rsidR="00811973">
        <w:rPr>
          <w:lang w:eastAsia="en-GB"/>
        </w:rPr>
        <w:t>c</w:t>
      </w:r>
      <w:r w:rsidRPr="00D433CE">
        <w:rPr>
          <w:lang w:eastAsia="en-GB"/>
        </w:rPr>
        <w:t xml:space="preserve">hild </w:t>
      </w:r>
      <w:r w:rsidR="00811973">
        <w:rPr>
          <w:lang w:eastAsia="en-GB"/>
        </w:rPr>
        <w:t>p</w:t>
      </w:r>
      <w:r w:rsidRPr="00D433CE">
        <w:rPr>
          <w:lang w:eastAsia="en-GB"/>
        </w:rPr>
        <w:t xml:space="preserve">rotective </w:t>
      </w:r>
      <w:r w:rsidR="00811973">
        <w:rPr>
          <w:lang w:eastAsia="en-GB"/>
        </w:rPr>
        <w:t>s</w:t>
      </w:r>
      <w:r w:rsidRPr="00D433CE">
        <w:rPr>
          <w:lang w:eastAsia="en-GB"/>
        </w:rPr>
        <w:t>ervices staff.</w:t>
      </w:r>
    </w:p>
    <w:p w14:paraId="1DB299E3" w14:textId="206A1043" w:rsidR="00D433CE" w:rsidRPr="000D0B83" w:rsidRDefault="00D433CE" w:rsidP="000D0B83">
      <w:pPr>
        <w:pStyle w:val="RTBodyText"/>
        <w:rPr>
          <w:lang w:eastAsia="en-GB"/>
        </w:rPr>
      </w:pPr>
    </w:p>
    <w:p w14:paraId="1F81D182" w14:textId="1FFE8EB8" w:rsidR="000C4DE6" w:rsidRPr="00C06C22" w:rsidRDefault="000C4DE6" w:rsidP="00E20D98">
      <w:pPr>
        <w:pStyle w:val="RTBodyText"/>
        <w:rPr>
          <w:lang w:val="en-US"/>
        </w:rPr>
        <w:sectPr w:rsidR="000C4DE6" w:rsidRPr="00C06C22" w:rsidSect="0004666B">
          <w:headerReference w:type="default" r:id="rId14"/>
          <w:footerReference w:type="default" r:id="rId15"/>
          <w:pgSz w:w="11900" w:h="16840"/>
          <w:pgMar w:top="1474" w:right="1814" w:bottom="1985" w:left="1814" w:header="709" w:footer="851" w:gutter="0"/>
          <w:cols w:space="708"/>
          <w:docGrid w:linePitch="360"/>
        </w:sectPr>
      </w:pPr>
    </w:p>
    <w:tbl>
      <w:tblPr>
        <w:tblStyle w:val="TableGrid"/>
        <w:tblW w:w="8132" w:type="dxa"/>
        <w:tblInd w:w="1216" w:type="dxa"/>
        <w:tblBorders>
          <w:top w:val="none" w:sz="0" w:space="0" w:color="auto"/>
          <w:left w:val="single" w:sz="48" w:space="0" w:color="FFFF00" w:themeColor="accent1"/>
          <w:bottom w:val="none" w:sz="0" w:space="0" w:color="auto"/>
          <w:right w:val="none" w:sz="0" w:space="0" w:color="auto"/>
          <w:insideH w:val="none" w:sz="0" w:space="0" w:color="auto"/>
          <w:insideV w:val="none" w:sz="0" w:space="0" w:color="auto"/>
        </w:tblBorders>
        <w:tblCellMar>
          <w:top w:w="113" w:type="dxa"/>
          <w:left w:w="227" w:type="dxa"/>
          <w:right w:w="0" w:type="dxa"/>
        </w:tblCellMar>
        <w:tblLook w:val="04A0" w:firstRow="1" w:lastRow="0" w:firstColumn="1" w:lastColumn="0" w:noHBand="0" w:noVBand="1"/>
      </w:tblPr>
      <w:tblGrid>
        <w:gridCol w:w="8132"/>
      </w:tblGrid>
      <w:tr w:rsidR="009A517C" w:rsidRPr="00C06C22" w14:paraId="451C5E0E" w14:textId="77777777" w:rsidTr="00943638">
        <w:trPr>
          <w:trHeight w:val="4317"/>
        </w:trPr>
        <w:tc>
          <w:tcPr>
            <w:tcW w:w="8132" w:type="dxa"/>
          </w:tcPr>
          <w:p w14:paraId="524F3E78" w14:textId="77777777" w:rsidR="009A517C" w:rsidRPr="00C06C22" w:rsidRDefault="006C6AF7" w:rsidP="00943638">
            <w:pPr>
              <w:pStyle w:val="RTStatement"/>
              <w:spacing w:line="760" w:lineRule="exact"/>
              <w:rPr>
                <w:noProof w:val="0"/>
                <w:spacing w:val="-20"/>
                <w:sz w:val="80"/>
                <w:szCs w:val="100"/>
                <w:lang w:val="en-US"/>
              </w:rPr>
            </w:pPr>
            <w:r w:rsidRPr="00C06C22">
              <w:rPr>
                <w:noProof w:val="0"/>
                <w:spacing w:val="-20"/>
                <w:sz w:val="80"/>
                <w:szCs w:val="100"/>
                <w:lang w:val="en-US"/>
              </w:rPr>
              <w:lastRenderedPageBreak/>
              <w:t xml:space="preserve">Amnesty international </w:t>
            </w:r>
            <w:r w:rsidR="00943638" w:rsidRPr="00C06C22">
              <w:rPr>
                <w:noProof w:val="0"/>
                <w:spacing w:val="-20"/>
                <w:sz w:val="80"/>
                <w:szCs w:val="100"/>
                <w:lang w:val="en-US"/>
              </w:rPr>
              <w:br/>
            </w:r>
            <w:r w:rsidRPr="00C06C22">
              <w:rPr>
                <w:noProof w:val="0"/>
                <w:sz w:val="80"/>
                <w:szCs w:val="100"/>
                <w:lang w:val="en-US"/>
              </w:rPr>
              <w:t xml:space="preserve">is a global movement </w:t>
            </w:r>
            <w:r w:rsidR="00943638" w:rsidRPr="00C06C22">
              <w:rPr>
                <w:noProof w:val="0"/>
                <w:sz w:val="80"/>
                <w:szCs w:val="100"/>
                <w:lang w:val="en-US"/>
              </w:rPr>
              <w:br/>
            </w:r>
            <w:r w:rsidRPr="00C06C22">
              <w:rPr>
                <w:noProof w:val="0"/>
                <w:sz w:val="80"/>
                <w:szCs w:val="100"/>
                <w:lang w:val="en-US"/>
              </w:rPr>
              <w:t xml:space="preserve">for human </w:t>
            </w:r>
            <w:r w:rsidR="00943638" w:rsidRPr="00C06C22">
              <w:rPr>
                <w:noProof w:val="0"/>
                <w:sz w:val="80"/>
                <w:szCs w:val="100"/>
                <w:lang w:val="en-US"/>
              </w:rPr>
              <w:t xml:space="preserve">rights. </w:t>
            </w:r>
            <w:r w:rsidR="00943638" w:rsidRPr="00C06C22">
              <w:rPr>
                <w:noProof w:val="0"/>
                <w:sz w:val="80"/>
                <w:szCs w:val="100"/>
                <w:lang w:val="en-US"/>
              </w:rPr>
              <w:br/>
              <w:t xml:space="preserve">When injustice </w:t>
            </w:r>
            <w:r w:rsidRPr="00C06C22">
              <w:rPr>
                <w:noProof w:val="0"/>
                <w:sz w:val="80"/>
                <w:szCs w:val="100"/>
                <w:lang w:val="en-US"/>
              </w:rPr>
              <w:t xml:space="preserve">happens </w:t>
            </w:r>
            <w:r w:rsidR="00943638" w:rsidRPr="00C06C22">
              <w:rPr>
                <w:noProof w:val="0"/>
                <w:sz w:val="80"/>
                <w:szCs w:val="100"/>
                <w:lang w:val="en-US"/>
              </w:rPr>
              <w:br/>
            </w:r>
            <w:r w:rsidRPr="00C06C22">
              <w:rPr>
                <w:noProof w:val="0"/>
                <w:sz w:val="80"/>
                <w:szCs w:val="100"/>
                <w:lang w:val="en-US"/>
              </w:rPr>
              <w:t xml:space="preserve">to one person, it </w:t>
            </w:r>
            <w:r w:rsidR="00943638" w:rsidRPr="00C06C22">
              <w:rPr>
                <w:noProof w:val="0"/>
                <w:sz w:val="80"/>
                <w:szCs w:val="100"/>
                <w:lang w:val="en-US"/>
              </w:rPr>
              <w:br/>
            </w:r>
            <w:r w:rsidRPr="00C06C22">
              <w:rPr>
                <w:noProof w:val="0"/>
                <w:sz w:val="80"/>
                <w:szCs w:val="100"/>
                <w:lang w:val="en-US"/>
              </w:rPr>
              <w:t>matters to us all</w:t>
            </w:r>
            <w:r w:rsidRPr="00C06C22">
              <w:rPr>
                <w:noProof w:val="0"/>
                <w:spacing w:val="-20"/>
                <w:sz w:val="80"/>
                <w:szCs w:val="100"/>
                <w:lang w:val="en-US"/>
              </w:rPr>
              <w:t>.</w:t>
            </w:r>
          </w:p>
        </w:tc>
      </w:tr>
    </w:tbl>
    <w:p w14:paraId="6C511E78" w14:textId="77777777" w:rsidR="00186842" w:rsidRPr="00C06C22" w:rsidRDefault="00186842" w:rsidP="00E20D98">
      <w:pPr>
        <w:pStyle w:val="RTBodyText"/>
        <w:rPr>
          <w:lang w:val="en-US"/>
        </w:rPr>
      </w:pPr>
    </w:p>
    <w:p w14:paraId="7F0AC432" w14:textId="118DB32A" w:rsidR="00186842" w:rsidRPr="00C06C22" w:rsidRDefault="00186842" w:rsidP="00F176CA">
      <w:r w:rsidRPr="00C06C22">
        <w:br w:type="page"/>
      </w:r>
    </w:p>
    <w:p w14:paraId="5B15B3DD" w14:textId="36ED3D94" w:rsidR="00186842" w:rsidRPr="00C06C22" w:rsidRDefault="00FF33F9" w:rsidP="00F176CA">
      <w:pPr>
        <w:pStyle w:val="RTHighlightedHeading"/>
        <w:rPr>
          <w:lang w:val="en-US"/>
        </w:rPr>
      </w:pPr>
      <w:r w:rsidRPr="00C06C22">
        <w:rPr>
          <w:rStyle w:val="RTHighlightedtext"/>
          <w:noProof/>
          <w:lang w:val="fr-CA" w:eastAsia="zh-CN"/>
        </w:rPr>
        <w:lastRenderedPageBreak/>
        <mc:AlternateContent>
          <mc:Choice Requires="wps">
            <w:drawing>
              <wp:anchor distT="45720" distB="45720" distL="114300" distR="114300" simplePos="0" relativeHeight="251652608" behindDoc="0" locked="0" layoutInCell="1" allowOverlap="1" wp14:anchorId="6AB742C7" wp14:editId="46601F72">
                <wp:simplePos x="0" y="0"/>
                <wp:positionH relativeFrom="column">
                  <wp:posOffset>0</wp:posOffset>
                </wp:positionH>
                <wp:positionV relativeFrom="paragraph">
                  <wp:posOffset>480060</wp:posOffset>
                </wp:positionV>
                <wp:extent cx="5168900" cy="7305675"/>
                <wp:effectExtent l="0" t="0" r="12700" b="28575"/>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8900" cy="7305675"/>
                        </a:xfrm>
                        <a:prstGeom prst="rect">
                          <a:avLst/>
                        </a:prstGeom>
                        <a:solidFill>
                          <a:srgbClr val="FFFFFF"/>
                        </a:solidFill>
                        <a:ln w="9525">
                          <a:solidFill>
                            <a:schemeClr val="bg1"/>
                          </a:solidFill>
                          <a:miter lim="800000"/>
                          <a:headEnd/>
                          <a:tailEnd/>
                        </a:ln>
                      </wps:spPr>
                      <wps:txbx>
                        <w:txbxContent>
                          <w:p w14:paraId="3ACEC5F5" w14:textId="21D18461" w:rsidR="00876AA0" w:rsidRPr="00E127FC" w:rsidRDefault="00876AA0" w:rsidP="008C2989">
                            <w:pPr>
                              <w:pStyle w:val="RTBodyText"/>
                              <w:spacing w:before="120" w:after="60" w:line="288" w:lineRule="auto"/>
                              <w:rPr>
                                <w:rStyle w:val="RTHighlightedtext"/>
                                <w:rFonts w:ascii="Amnesty Trade Gothic Cn" w:hAnsi="Amnesty Trade Gothic Cn"/>
                                <w:b/>
                                <w:bCs/>
                                <w:caps/>
                                <w:sz w:val="56"/>
                                <w:szCs w:val="56"/>
                              </w:rPr>
                            </w:pPr>
                            <w:r>
                              <w:rPr>
                                <w:rStyle w:val="RTHighlightedtext"/>
                                <w:rFonts w:ascii="Amnesty Trade Gothic Cn" w:hAnsi="Amnesty Trade Gothic Cn"/>
                                <w:b/>
                                <w:bCs/>
                                <w:caps/>
                                <w:sz w:val="56"/>
                                <w:szCs w:val="56"/>
                              </w:rPr>
                              <w:t>Criminalizing Pregnancy</w:t>
                            </w:r>
                          </w:p>
                          <w:p w14:paraId="04BC7148" w14:textId="77777777" w:rsidR="00876AA0" w:rsidRDefault="00876AA0" w:rsidP="008C2989">
                            <w:pPr>
                              <w:pStyle w:val="RTBackcoversubheading"/>
                              <w:spacing w:line="240" w:lineRule="auto"/>
                            </w:pPr>
                            <w:r>
                              <w:t>policing pregnant women who use drugs in the usa</w:t>
                            </w:r>
                          </w:p>
                          <w:p w14:paraId="6CED5E3C" w14:textId="19BC5AC1" w:rsidR="00876AA0" w:rsidRPr="004D456B" w:rsidRDefault="00876AA0" w:rsidP="0010145E">
                            <w:pPr>
                              <w:pStyle w:val="RTBackcoverblurb"/>
                              <w:rPr>
                                <w:lang w:val="en-US" w:eastAsia="en-GB"/>
                              </w:rPr>
                            </w:pPr>
                            <w:r>
                              <w:rPr>
                                <w:lang w:eastAsia="en-GB"/>
                              </w:rPr>
                              <w:t xml:space="preserve">In the USA, pregnant women </w:t>
                            </w:r>
                            <w:r w:rsidRPr="008C0697">
                              <w:rPr>
                                <w:lang w:eastAsia="en-GB"/>
                              </w:rPr>
                              <w:t xml:space="preserve">lie at the </w:t>
                            </w:r>
                            <w:proofErr w:type="spellStart"/>
                            <w:r w:rsidRPr="008C0697">
                              <w:rPr>
                                <w:lang w:eastAsia="en-GB"/>
                              </w:rPr>
                              <w:t>center</w:t>
                            </w:r>
                            <w:proofErr w:type="spellEnd"/>
                            <w:r w:rsidRPr="008C0697">
                              <w:rPr>
                                <w:lang w:eastAsia="en-GB"/>
                              </w:rPr>
                              <w:t xml:space="preserve"> of a contested battleground over their sexual and reproductive rights</w:t>
                            </w:r>
                            <w:r>
                              <w:rPr>
                                <w:lang w:eastAsia="en-GB"/>
                              </w:rPr>
                              <w:t xml:space="preserve">. A series of laws police the </w:t>
                            </w:r>
                            <w:proofErr w:type="spellStart"/>
                            <w:r>
                              <w:rPr>
                                <w:lang w:eastAsia="en-GB"/>
                              </w:rPr>
                              <w:t>behavior</w:t>
                            </w:r>
                            <w:proofErr w:type="spellEnd"/>
                            <w:r>
                              <w:rPr>
                                <w:lang w:eastAsia="en-GB"/>
                              </w:rPr>
                              <w:t xml:space="preserve"> of pregnant women and particularly impact those who are marginalized and those who use drugs. Collectively called pregnancy criminalization laws, t</w:t>
                            </w:r>
                            <w:r>
                              <w:rPr>
                                <w:lang w:val="en-US" w:eastAsia="en-GB"/>
                              </w:rPr>
                              <w:t>his</w:t>
                            </w:r>
                            <w:r w:rsidRPr="00375465">
                              <w:rPr>
                                <w:lang w:val="en-US" w:eastAsia="en-GB"/>
                              </w:rPr>
                              <w:t xml:space="preserve"> report provides a basic overv</w:t>
                            </w:r>
                            <w:r>
                              <w:rPr>
                                <w:lang w:val="en-US" w:eastAsia="en-GB"/>
                              </w:rPr>
                              <w:t xml:space="preserve">iew of the impact of these </w:t>
                            </w:r>
                            <w:r w:rsidRPr="00375465">
                              <w:rPr>
                                <w:lang w:val="en-US" w:eastAsia="en-GB"/>
                              </w:rPr>
                              <w:t>laws on women’s human rights</w:t>
                            </w:r>
                            <w:r>
                              <w:rPr>
                                <w:lang w:val="en-US" w:eastAsia="en-GB"/>
                              </w:rPr>
                              <w:t xml:space="preserve"> and access to</w:t>
                            </w:r>
                            <w:r w:rsidRPr="00375465">
                              <w:rPr>
                                <w:lang w:val="en-US" w:eastAsia="en-GB"/>
                              </w:rPr>
                              <w:t xml:space="preserve"> healthcare across the USA</w:t>
                            </w:r>
                            <w:r w:rsidR="00004AF1">
                              <w:rPr>
                                <w:lang w:val="en-US" w:eastAsia="en-GB"/>
                              </w:rPr>
                              <w:t>, and specifically focuses on two criminal laws in A</w:t>
                            </w:r>
                            <w:r>
                              <w:rPr>
                                <w:lang w:val="en-US" w:eastAsia="en-GB"/>
                              </w:rPr>
                              <w:t>labama and Tennessee.</w:t>
                            </w:r>
                          </w:p>
                          <w:p w14:paraId="7CEAAED5" w14:textId="555016EC" w:rsidR="00876AA0" w:rsidRPr="006D102C" w:rsidRDefault="00876AA0" w:rsidP="006D102C">
                            <w:pPr>
                              <w:pStyle w:val="RTBackcoverblurb"/>
                              <w:rPr>
                                <w:lang w:eastAsia="en-GB"/>
                              </w:rPr>
                            </w:pPr>
                            <w:r w:rsidRPr="00466341">
                              <w:rPr>
                                <w:lang w:val="en-US" w:eastAsia="en-GB"/>
                              </w:rPr>
                              <w:t>Pregnancy criminalization laws violate women’s rights to health, privacy, equality and non-discrimination</w:t>
                            </w:r>
                            <w:r>
                              <w:rPr>
                                <w:lang w:eastAsia="en-GB"/>
                              </w:rPr>
                              <w:t>.</w:t>
                            </w:r>
                            <w:r w:rsidRPr="00466341">
                              <w:rPr>
                                <w:lang w:eastAsia="en-GB"/>
                              </w:rPr>
                              <w:t xml:space="preserve"> </w:t>
                            </w:r>
                            <w:r>
                              <w:rPr>
                                <w:lang w:eastAsia="en-GB"/>
                              </w:rPr>
                              <w:t>P</w:t>
                            </w:r>
                            <w:r w:rsidRPr="000B6B3F">
                              <w:rPr>
                                <w:lang w:eastAsia="en-GB"/>
                              </w:rPr>
                              <w:t>unitive approaches deter women from seeking healthcare services</w:t>
                            </w:r>
                            <w:r>
                              <w:rPr>
                                <w:lang w:eastAsia="en-GB"/>
                              </w:rPr>
                              <w:t xml:space="preserve"> and have a discriminatory impact on low-income women and women of </w:t>
                            </w:r>
                            <w:proofErr w:type="spellStart"/>
                            <w:r>
                              <w:rPr>
                                <w:lang w:eastAsia="en-GB"/>
                              </w:rPr>
                              <w:t>color</w:t>
                            </w:r>
                            <w:proofErr w:type="spellEnd"/>
                            <w:r>
                              <w:rPr>
                                <w:lang w:eastAsia="en-GB"/>
                              </w:rPr>
                              <w:t xml:space="preserve">. </w:t>
                            </w:r>
                          </w:p>
                          <w:p w14:paraId="4D8021DD" w14:textId="54C433E7" w:rsidR="00876AA0" w:rsidRDefault="00876AA0" w:rsidP="006D102C">
                            <w:pPr>
                              <w:pStyle w:val="RTBackcoverblurb"/>
                              <w:rPr>
                                <w:lang w:eastAsia="en-GB"/>
                              </w:rPr>
                            </w:pPr>
                            <w:r>
                              <w:rPr>
                                <w:lang w:eastAsia="en-GB"/>
                              </w:rPr>
                              <w:t>Amnesty International is asking states to repeal these laws. Instead of relying on punishment, states must ensure they are meeting their human rights obligations including ensuring access to healthcare.</w:t>
                            </w:r>
                          </w:p>
                          <w:p w14:paraId="5E22570A" w14:textId="2EEF396B" w:rsidR="00876AA0" w:rsidRPr="00375465" w:rsidRDefault="00876AA0" w:rsidP="00375465">
                            <w:pPr>
                              <w:rPr>
                                <w:lang w:val="en-GB"/>
                              </w:rPr>
                            </w:pPr>
                          </w:p>
                          <w:p w14:paraId="1D74AF62" w14:textId="0F233566" w:rsidR="00876AA0" w:rsidRPr="006D102C" w:rsidRDefault="00876AA0" w:rsidP="006D102C">
                            <w:pPr>
                              <w:rPr>
                                <w:lang w:val="en-GB"/>
                              </w:rPr>
                            </w:pPr>
                            <w:bookmarkStart w:id="65" w:name="_GoBack"/>
                            <w:bookmarkEnd w:id="65"/>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0;margin-top:37.8pt;width:407pt;height:575.25pt;z-index:251652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" strokecolor="white [3212]">
                <v:textbox>
                  <w:txbxContent>
                    <w:p w14:paraId="3ACEC5F5" w14:textId="21D18461" w:rsidR="00876AA0" w:rsidRPr="00E127FC" w:rsidRDefault="00876AA0" w:rsidP="008C2989">
                      <w:pPr>
                        <w:pStyle w:val="RTBodyText"/>
                        <w:spacing w:before="120" w:after="60" w:line="288" w:lineRule="auto"/>
                        <w:rPr>
                          <w:rStyle w:val="RTHighlightedtext"/>
                          <w:rFonts w:ascii="Amnesty Trade Gothic Cn" w:hAnsi="Amnesty Trade Gothic Cn"/>
                          <w:b/>
                          <w:bCs/>
                          <w:caps/>
                          <w:sz w:val="56"/>
                          <w:szCs w:val="56"/>
                        </w:rPr>
                      </w:pPr>
                      <w:r>
                        <w:rPr>
                          <w:rStyle w:val="RTHighlightedtext"/>
                          <w:rFonts w:ascii="Amnesty Trade Gothic Cn" w:hAnsi="Amnesty Trade Gothic Cn"/>
                          <w:b/>
                          <w:bCs/>
                          <w:caps/>
                          <w:sz w:val="56"/>
                          <w:szCs w:val="56"/>
                        </w:rPr>
                        <w:t>Criminalizing Pregnancy</w:t>
                      </w:r>
                    </w:p>
                    <w:p w14:paraId="04BC7148" w14:textId="77777777" w:rsidR="00876AA0" w:rsidRDefault="00876AA0" w:rsidP="008C2989">
                      <w:pPr>
                        <w:pStyle w:val="RTBackcoversubheading"/>
                        <w:spacing w:line="240" w:lineRule="auto"/>
                      </w:pPr>
                      <w:r>
                        <w:t>policing pregnant women who use drugs in the usa</w:t>
                      </w:r>
                    </w:p>
                    <w:p w14:paraId="6CED5E3C" w14:textId="19BC5AC1" w:rsidR="00876AA0" w:rsidRPr="004D456B" w:rsidRDefault="00876AA0" w:rsidP="0010145E">
                      <w:pPr>
                        <w:pStyle w:val="RTBackcoverblurb"/>
                        <w:rPr>
                          <w:lang w:val="en-US" w:eastAsia="en-GB"/>
                        </w:rPr>
                      </w:pPr>
                      <w:r>
                        <w:rPr>
                          <w:lang w:eastAsia="en-GB"/>
                        </w:rPr>
                        <w:t xml:space="preserve">In the USA, pregnant women </w:t>
                      </w:r>
                      <w:r w:rsidRPr="008C0697">
                        <w:rPr>
                          <w:lang w:eastAsia="en-GB"/>
                        </w:rPr>
                        <w:t xml:space="preserve">lie at the </w:t>
                      </w:r>
                      <w:proofErr w:type="spellStart"/>
                      <w:r w:rsidRPr="008C0697">
                        <w:rPr>
                          <w:lang w:eastAsia="en-GB"/>
                        </w:rPr>
                        <w:t>center</w:t>
                      </w:r>
                      <w:proofErr w:type="spellEnd"/>
                      <w:r w:rsidRPr="008C0697">
                        <w:rPr>
                          <w:lang w:eastAsia="en-GB"/>
                        </w:rPr>
                        <w:t xml:space="preserve"> of a contested battleground over their sexual and reproductive rights</w:t>
                      </w:r>
                      <w:r>
                        <w:rPr>
                          <w:lang w:eastAsia="en-GB"/>
                        </w:rPr>
                        <w:t xml:space="preserve">. A series of laws police the </w:t>
                      </w:r>
                      <w:proofErr w:type="spellStart"/>
                      <w:r>
                        <w:rPr>
                          <w:lang w:eastAsia="en-GB"/>
                        </w:rPr>
                        <w:t>behavior</w:t>
                      </w:r>
                      <w:proofErr w:type="spellEnd"/>
                      <w:r>
                        <w:rPr>
                          <w:lang w:eastAsia="en-GB"/>
                        </w:rPr>
                        <w:t xml:space="preserve"> of pregnant women and particularly impact those who are marginalized and those who use drugs. Collectively called pregnancy criminalization laws, t</w:t>
                      </w:r>
                      <w:r>
                        <w:rPr>
                          <w:lang w:val="en-US" w:eastAsia="en-GB"/>
                        </w:rPr>
                        <w:t>his</w:t>
                      </w:r>
                      <w:r w:rsidRPr="00375465">
                        <w:rPr>
                          <w:lang w:val="en-US" w:eastAsia="en-GB"/>
                        </w:rPr>
                        <w:t xml:space="preserve"> report provides a basic overv</w:t>
                      </w:r>
                      <w:r>
                        <w:rPr>
                          <w:lang w:val="en-US" w:eastAsia="en-GB"/>
                        </w:rPr>
                        <w:t xml:space="preserve">iew of the impact of these </w:t>
                      </w:r>
                      <w:r w:rsidRPr="00375465">
                        <w:rPr>
                          <w:lang w:val="en-US" w:eastAsia="en-GB"/>
                        </w:rPr>
                        <w:t>laws on women’s human rights</w:t>
                      </w:r>
                      <w:r>
                        <w:rPr>
                          <w:lang w:val="en-US" w:eastAsia="en-GB"/>
                        </w:rPr>
                        <w:t xml:space="preserve"> and access to</w:t>
                      </w:r>
                      <w:r w:rsidRPr="00375465">
                        <w:rPr>
                          <w:lang w:val="en-US" w:eastAsia="en-GB"/>
                        </w:rPr>
                        <w:t xml:space="preserve"> healthcare across the USA</w:t>
                      </w:r>
                      <w:r w:rsidR="00004AF1">
                        <w:rPr>
                          <w:lang w:val="en-US" w:eastAsia="en-GB"/>
                        </w:rPr>
                        <w:t>, and specifically focuses on two criminal laws in A</w:t>
                      </w:r>
                      <w:r>
                        <w:rPr>
                          <w:lang w:val="en-US" w:eastAsia="en-GB"/>
                        </w:rPr>
                        <w:t>labama and Tennessee.</w:t>
                      </w:r>
                    </w:p>
                    <w:p w14:paraId="7CEAAED5" w14:textId="555016EC" w:rsidR="00876AA0" w:rsidRPr="006D102C" w:rsidRDefault="00876AA0" w:rsidP="006D102C">
                      <w:pPr>
                        <w:pStyle w:val="RTBackcoverblurb"/>
                        <w:rPr>
                          <w:lang w:eastAsia="en-GB"/>
                        </w:rPr>
                      </w:pPr>
                      <w:r w:rsidRPr="00466341">
                        <w:rPr>
                          <w:lang w:val="en-US" w:eastAsia="en-GB"/>
                        </w:rPr>
                        <w:t>Pregnancy criminalization laws violate women’s rights to health, privacy, equality and non-discrimination</w:t>
                      </w:r>
                      <w:r>
                        <w:rPr>
                          <w:lang w:eastAsia="en-GB"/>
                        </w:rPr>
                        <w:t>.</w:t>
                      </w:r>
                      <w:r w:rsidRPr="00466341">
                        <w:rPr>
                          <w:lang w:eastAsia="en-GB"/>
                        </w:rPr>
                        <w:t xml:space="preserve"> </w:t>
                      </w:r>
                      <w:r>
                        <w:rPr>
                          <w:lang w:eastAsia="en-GB"/>
                        </w:rPr>
                        <w:t>P</w:t>
                      </w:r>
                      <w:r w:rsidRPr="000B6B3F">
                        <w:rPr>
                          <w:lang w:eastAsia="en-GB"/>
                        </w:rPr>
                        <w:t>unitive approaches deter women from seeking healthcare services</w:t>
                      </w:r>
                      <w:r>
                        <w:rPr>
                          <w:lang w:eastAsia="en-GB"/>
                        </w:rPr>
                        <w:t xml:space="preserve"> and have a discriminatory impact on low-income women and women of </w:t>
                      </w:r>
                      <w:proofErr w:type="spellStart"/>
                      <w:r>
                        <w:rPr>
                          <w:lang w:eastAsia="en-GB"/>
                        </w:rPr>
                        <w:t>color</w:t>
                      </w:r>
                      <w:proofErr w:type="spellEnd"/>
                      <w:r>
                        <w:rPr>
                          <w:lang w:eastAsia="en-GB"/>
                        </w:rPr>
                        <w:t xml:space="preserve">. </w:t>
                      </w:r>
                    </w:p>
                    <w:p w14:paraId="4D8021DD" w14:textId="54C433E7" w:rsidR="00876AA0" w:rsidRDefault="00876AA0" w:rsidP="006D102C">
                      <w:pPr>
                        <w:pStyle w:val="RTBackcoverblurb"/>
                        <w:rPr>
                          <w:lang w:eastAsia="en-GB"/>
                        </w:rPr>
                      </w:pPr>
                      <w:r>
                        <w:rPr>
                          <w:lang w:eastAsia="en-GB"/>
                        </w:rPr>
                        <w:t>Amnesty International is asking states to repeal these laws. Instead of relying on punishment, states must ensure they are meeting their human rights obligations including ensuring access to healthcare.</w:t>
                      </w:r>
                    </w:p>
                    <w:p w14:paraId="5E22570A" w14:textId="2EEF396B" w:rsidR="00876AA0" w:rsidRPr="00375465" w:rsidRDefault="00876AA0" w:rsidP="00375465">
                      <w:pPr>
                        <w:rPr>
                          <w:lang w:val="en-GB"/>
                        </w:rPr>
                      </w:pPr>
                    </w:p>
                    <w:p w14:paraId="1D74AF62" w14:textId="0F233566" w:rsidR="00876AA0" w:rsidRPr="006D102C" w:rsidRDefault="00876AA0" w:rsidP="006D102C">
                      <w:pPr>
                        <w:rPr>
                          <w:lang w:val="en-GB"/>
                        </w:rPr>
                      </w:pPr>
                      <w:bookmarkStart w:id="66" w:name="_GoBack"/>
                      <w:bookmarkEnd w:id="66"/>
                    </w:p>
                  </w:txbxContent>
                </v:textbox>
                <w10:wrap type="square"/>
              </v:shape>
            </w:pict>
          </mc:Fallback>
        </mc:AlternateContent>
      </w:r>
    </w:p>
    <w:sectPr w:rsidR="00186842" w:rsidRPr="00C06C22" w:rsidSect="009A517C">
      <w:footerReference w:type="default" r:id="rId16"/>
      <w:footerReference w:type="first" r:id="rId17"/>
      <w:pgSz w:w="11900" w:h="16840"/>
      <w:pgMar w:top="1474" w:right="794" w:bottom="2041" w:left="794" w:header="709"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8785699" w14:textId="77777777" w:rsidR="00AD5CFA" w:rsidRDefault="00AD5CFA" w:rsidP="00AE5E82">
      <w:r>
        <w:separator/>
      </w:r>
    </w:p>
  </w:endnote>
  <w:endnote w:type="continuationSeparator" w:id="0">
    <w:p w14:paraId="77CC2089" w14:textId="77777777" w:rsidR="00AD5CFA" w:rsidRDefault="00AD5CFA" w:rsidP="00AE5E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Amnesty Trade Gothic Light">
    <w:altName w:val="Corbel"/>
    <w:charset w:val="00"/>
    <w:family w:val="swiss"/>
    <w:pitch w:val="variable"/>
    <w:sig w:usb0="00000001" w:usb1="5000204A" w:usb2="00000000" w:usb3="00000000" w:csb0="0000009B"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Amnesty Trade Gothic Light Obl">
    <w:altName w:val="Times New Roman"/>
    <w:charset w:val="00"/>
    <w:family w:val="auto"/>
    <w:pitch w:val="variable"/>
    <w:sig w:usb0="00000001" w:usb1="5000204A" w:usb2="00000000" w:usb3="00000000" w:csb0="0000009B" w:csb1="00000000"/>
  </w:font>
  <w:font w:name="Amnesty Trade Gothic Cn">
    <w:altName w:val="Arial Narrow"/>
    <w:charset w:val="00"/>
    <w:family w:val="swiss"/>
    <w:pitch w:val="variable"/>
    <w:sig w:usb0="00000001" w:usb1="5000204A" w:usb2="00000000" w:usb3="00000000" w:csb0="0000009B"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10006FF" w:usb1="4000205B" w:usb2="00000010" w:usb3="00000000" w:csb0="0000019F" w:csb1="00000000"/>
  </w:font>
  <w:font w:name="MinionPro-Regular">
    <w:altName w:val="Minion Pro"/>
    <w:panose1 w:val="00000000000000000000"/>
    <w:charset w:val="4D"/>
    <w:family w:val="auto"/>
    <w:notTrueType/>
    <w:pitch w:val="default"/>
    <w:sig w:usb0="00000003" w:usb1="00000000" w:usb2="00000000" w:usb3="00000000" w:csb0="00000001" w:csb1="00000000"/>
  </w:font>
  <w:font w:name="AmnestyTradeGothic-Light">
    <w:altName w:val="Calibri"/>
    <w:panose1 w:val="00000000000000000000"/>
    <w:charset w:val="00"/>
    <w:family w:val="auto"/>
    <w:notTrueType/>
    <w:pitch w:val="default"/>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Amnesty Trade Gothic">
    <w:altName w:val="Corbel"/>
    <w:charset w:val="00"/>
    <w:family w:val="swiss"/>
    <w:pitch w:val="variable"/>
    <w:sig w:usb0="00000001" w:usb1="5000204A" w:usb2="00000000" w:usb3="00000000" w:csb0="0000009B" w:csb1="00000000"/>
  </w:font>
  <w:font w:name="Helvetica">
    <w:panose1 w:val="020B0604020202020204"/>
    <w:charset w:val="00"/>
    <w:family w:val="swiss"/>
    <w:notTrueType/>
    <w:pitch w:val="variable"/>
    <w:sig w:usb0="00000003" w:usb1="00000000" w:usb2="00000000" w:usb3="00000000" w:csb0="00000001" w:csb1="00000000"/>
  </w:font>
  <w:font w:name="AmnestyTradeGothic-BdCn20">
    <w:altName w:val="Amnesty Trade Gothic Cn"/>
    <w:panose1 w:val="00000000000000000000"/>
    <w:charset w:val="4D"/>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pPr w:leftFromText="181" w:rightFromText="181" w:vertAnchor="page" w:horzAnchor="page" w:tblpX="783" w:tblpY="10717"/>
      <w:tblW w:w="104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694"/>
      <w:gridCol w:w="2583"/>
      <w:gridCol w:w="5147"/>
    </w:tblGrid>
    <w:tr w:rsidR="00876AA0" w14:paraId="58DCEF57" w14:textId="77777777" w:rsidTr="00A661F1">
      <w:trPr>
        <w:trHeight w:val="2414"/>
      </w:trPr>
      <w:tc>
        <w:tcPr>
          <w:tcW w:w="5277" w:type="dxa"/>
          <w:gridSpan w:val="2"/>
          <w:tcMar>
            <w:right w:w="397" w:type="dxa"/>
          </w:tcMar>
          <w:vAlign w:val="bottom"/>
        </w:tcPr>
        <w:p w14:paraId="77B019CF" w14:textId="781201AA" w:rsidR="00876AA0" w:rsidRPr="007F6F2D" w:rsidRDefault="00876AA0" w:rsidP="00A661F1">
          <w:pPr>
            <w:pStyle w:val="RTCaptionText"/>
            <w:rPr>
              <w:rFonts w:cs="Helvetica"/>
              <w:i w:val="0"/>
            </w:rPr>
          </w:pPr>
          <w:r>
            <w:rPr>
              <w:i w:val="0"/>
            </w:rPr>
            <w:t>© Amnesty International 2017</w:t>
          </w:r>
        </w:p>
        <w:p w14:paraId="39DB0A84" w14:textId="77777777" w:rsidR="00876AA0" w:rsidRPr="007F6F2D" w:rsidRDefault="00876AA0" w:rsidP="00A661F1">
          <w:pPr>
            <w:pStyle w:val="RTCaptionText"/>
            <w:rPr>
              <w:rFonts w:cs="Helvetica"/>
              <w:i w:val="0"/>
            </w:rPr>
          </w:pPr>
          <w:r w:rsidRPr="007F6F2D">
            <w:rPr>
              <w:i w:val="0"/>
            </w:rPr>
            <w:t xml:space="preserve">Except where otherwise noted, content in this document is licensed under a Creative Commons (attribution, non-commercial, no derivatives, international 4.0) </w:t>
          </w:r>
          <w:proofErr w:type="spellStart"/>
          <w:r w:rsidRPr="007F6F2D">
            <w:rPr>
              <w:i w:val="0"/>
            </w:rPr>
            <w:t>licence</w:t>
          </w:r>
          <w:proofErr w:type="spellEnd"/>
          <w:r w:rsidRPr="007F6F2D">
            <w:rPr>
              <w:i w:val="0"/>
            </w:rPr>
            <w:t>.</w:t>
          </w:r>
        </w:p>
        <w:p w14:paraId="232F4E95" w14:textId="77777777" w:rsidR="00876AA0" w:rsidRPr="007F6F2D" w:rsidRDefault="00876AA0" w:rsidP="00A661F1">
          <w:pPr>
            <w:pStyle w:val="RTCaptionText"/>
            <w:rPr>
              <w:rFonts w:cs="Helvetica"/>
              <w:i w:val="0"/>
            </w:rPr>
          </w:pPr>
          <w:r w:rsidRPr="007F6F2D">
            <w:rPr>
              <w:i w:val="0"/>
              <w:color w:val="0000FF"/>
              <w:u w:val="single" w:color="0000FF"/>
            </w:rPr>
            <w:fldChar w:fldCharType="begin"/>
          </w:r>
          <w:r w:rsidRPr="007F6F2D">
            <w:rPr>
              <w:i w:val="0"/>
              <w:color w:val="0000FF"/>
              <w:u w:val="single" w:color="0000FF"/>
            </w:rPr>
            <w:instrText>HYPERLINK "https://creativecommons.org/licenses/by-nc-nd/4.0/legalcode"</w:instrText>
          </w:r>
          <w:r w:rsidRPr="007F6F2D">
            <w:rPr>
              <w:i w:val="0"/>
              <w:color w:val="0000FF"/>
              <w:u w:val="single" w:color="0000FF"/>
            </w:rPr>
            <w:fldChar w:fldCharType="separate"/>
          </w:r>
          <w:r w:rsidRPr="007F6F2D">
            <w:rPr>
              <w:i w:val="0"/>
              <w:u w:color="0000FF"/>
            </w:rPr>
            <w:t>https://creativecommons.org/licenses/by-nc-nd/4.0/legalcode</w:t>
          </w:r>
        </w:p>
        <w:p w14:paraId="68E681CB" w14:textId="77777777" w:rsidR="00876AA0" w:rsidRPr="007F6F2D" w:rsidRDefault="00876AA0" w:rsidP="00A661F1">
          <w:pPr>
            <w:pStyle w:val="RTCaptionText"/>
            <w:rPr>
              <w:rFonts w:cs="Helvetica"/>
              <w:i w:val="0"/>
            </w:rPr>
          </w:pPr>
          <w:r w:rsidRPr="007F6F2D">
            <w:rPr>
              <w:i w:val="0"/>
              <w:color w:val="0000FF"/>
              <w:u w:val="single" w:color="0000FF"/>
            </w:rPr>
            <w:fldChar w:fldCharType="end"/>
          </w:r>
          <w:r w:rsidRPr="007F6F2D">
            <w:rPr>
              <w:i w:val="0"/>
            </w:rPr>
            <w:t xml:space="preserve">For more information please visit the permissions page on our website: </w:t>
          </w:r>
          <w:hyperlink r:id="rId1" w:history="1">
            <w:r w:rsidRPr="007F6F2D">
              <w:rPr>
                <w:i w:val="0"/>
              </w:rPr>
              <w:t>www.amnesty.org</w:t>
            </w:r>
          </w:hyperlink>
        </w:p>
        <w:p w14:paraId="6E0E3683" w14:textId="77777777" w:rsidR="00876AA0" w:rsidRPr="007F6F2D" w:rsidRDefault="00876AA0" w:rsidP="00A661F1">
          <w:pPr>
            <w:pStyle w:val="RTCaptionText"/>
            <w:rPr>
              <w:i w:val="0"/>
            </w:rPr>
          </w:pPr>
          <w:r w:rsidRPr="007F6F2D">
            <w:rPr>
              <w:i w:val="0"/>
            </w:rPr>
            <w:t xml:space="preserve">Where material is attributed to a copyright owner other than Amnesty International this </w:t>
          </w:r>
          <w:r>
            <w:rPr>
              <w:i w:val="0"/>
            </w:rPr>
            <w:br/>
          </w:r>
          <w:r w:rsidRPr="007F6F2D">
            <w:rPr>
              <w:i w:val="0"/>
            </w:rPr>
            <w:t xml:space="preserve">material is not subject to the Creative Commons </w:t>
          </w:r>
          <w:proofErr w:type="spellStart"/>
          <w:r w:rsidRPr="007F6F2D">
            <w:rPr>
              <w:i w:val="0"/>
            </w:rPr>
            <w:t>licence</w:t>
          </w:r>
          <w:proofErr w:type="spellEnd"/>
          <w:r w:rsidRPr="007F6F2D">
            <w:rPr>
              <w:i w:val="0"/>
            </w:rPr>
            <w:t>.</w:t>
          </w:r>
        </w:p>
      </w:tc>
      <w:tc>
        <w:tcPr>
          <w:tcW w:w="5147" w:type="dxa"/>
        </w:tcPr>
        <w:p w14:paraId="324E43C4" w14:textId="77777777" w:rsidR="00876AA0" w:rsidRDefault="00876AA0" w:rsidP="00A661F1">
          <w:pPr>
            <w:pStyle w:val="RTCaptionText"/>
          </w:pPr>
        </w:p>
        <w:p w14:paraId="7F8A798F" w14:textId="77777777" w:rsidR="00876AA0" w:rsidRPr="003911AE" w:rsidRDefault="00876AA0" w:rsidP="00A661F1"/>
        <w:p w14:paraId="7E666E76" w14:textId="77777777" w:rsidR="00876AA0" w:rsidRDefault="00876AA0" w:rsidP="00A661F1"/>
        <w:p w14:paraId="3AA8AD76" w14:textId="77777777" w:rsidR="00876AA0" w:rsidRPr="003911AE" w:rsidRDefault="00876AA0" w:rsidP="00A661F1"/>
        <w:p w14:paraId="741366CC" w14:textId="77777777" w:rsidR="00876AA0" w:rsidRPr="003911AE" w:rsidRDefault="00876AA0" w:rsidP="00A661F1"/>
        <w:p w14:paraId="275BA5A2" w14:textId="77777777" w:rsidR="00876AA0" w:rsidRDefault="00876AA0" w:rsidP="00A661F1">
          <w:pPr>
            <w:pStyle w:val="RTCaptionText"/>
            <w:spacing w:line="360" w:lineRule="auto"/>
            <w:rPr>
              <w:b/>
            </w:rPr>
          </w:pPr>
          <w:r>
            <w:rPr>
              <w:noProof/>
              <w:lang w:val="fr-CA" w:eastAsia="zh-CN"/>
            </w:rPr>
            <w:drawing>
              <wp:inline distT="0" distB="0" distL="0" distR="0" wp14:anchorId="1115488E" wp14:editId="788D37AA">
                <wp:extent cx="266700" cy="150495"/>
                <wp:effectExtent l="0" t="0" r="1270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left.png"/>
                        <pic:cNvPicPr/>
                      </pic:nvPicPr>
                      <pic:blipFill>
                        <a:blip r:embed="rId2">
                          <a:extLst>
                            <a:ext uri="{28A0092B-C50C-407E-A947-70E740481C1C}">
                              <a14:useLocalDpi xmlns:a14="http://schemas.microsoft.com/office/drawing/2010/main" val="0"/>
                            </a:ext>
                          </a:extLst>
                        </a:blip>
                        <a:stretch>
                          <a:fillRect/>
                        </a:stretch>
                      </pic:blipFill>
                      <pic:spPr>
                        <a:xfrm>
                          <a:off x="0" y="0"/>
                          <a:ext cx="266700" cy="150495"/>
                        </a:xfrm>
                        <a:prstGeom prst="rect">
                          <a:avLst/>
                        </a:prstGeom>
                        <a:extLst>
                          <a:ext uri="{FAA26D3D-D897-4be2-8F04-BA451C77F1D7}">
                            <ma14:placeholderFlag xmlns:cx="http://schemas.microsoft.com/office/drawing/2014/chartex" xmlns:cx1="http://schemas.microsoft.com/office/drawing/2015/9/8/chartex" xmlns:cx2="http://schemas.microsoft.com/office/drawing/2015/10/21/chartex" xmlns:w16se="http://schemas.microsoft.com/office/word/2015/wordml/symex"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w15="http://schemas.microsoft.com/office/word/2012/wordml"/>
                          </a:ext>
                        </a:extLst>
                      </pic:spPr>
                    </pic:pic>
                  </a:graphicData>
                </a:graphic>
              </wp:inline>
            </w:drawing>
          </w:r>
        </w:p>
        <w:p w14:paraId="01EE05B5" w14:textId="78363579" w:rsidR="00876AA0" w:rsidRPr="009F4CE4" w:rsidRDefault="00876AA0" w:rsidP="009F4CE4">
          <w:pPr>
            <w:pStyle w:val="RTCaptionText"/>
          </w:pPr>
          <w:r w:rsidRPr="007A0F8F">
            <w:rPr>
              <w:b/>
            </w:rPr>
            <w:t>Cover photo:</w:t>
          </w:r>
          <w:r>
            <w:t xml:space="preserve"> CM, pictured in a drug treatment unit at a juvenile detention center in the USA. She is 16 years old and 8 months pregnant.</w:t>
          </w:r>
        </w:p>
        <w:p w14:paraId="235D99AB" w14:textId="05A06BBA" w:rsidR="00876AA0" w:rsidRPr="003911AE" w:rsidRDefault="00876AA0" w:rsidP="00A661F1">
          <w:pPr>
            <w:pStyle w:val="RTCaptionText"/>
          </w:pPr>
          <w:r>
            <w:rPr>
              <w:i w:val="0"/>
            </w:rPr>
            <w:t xml:space="preserve">© </w:t>
          </w:r>
          <w:r>
            <w:t>Richard Ross richardross.net</w:t>
          </w:r>
        </w:p>
      </w:tc>
    </w:tr>
    <w:tr w:rsidR="00876AA0" w14:paraId="35423189" w14:textId="77777777" w:rsidTr="00A661F1">
      <w:tc>
        <w:tcPr>
          <w:tcW w:w="2694" w:type="dxa"/>
          <w:vAlign w:val="bottom"/>
        </w:tcPr>
        <w:p w14:paraId="2ED6D29E" w14:textId="0E4C0D7F" w:rsidR="00876AA0" w:rsidRDefault="00876AA0" w:rsidP="00A661F1">
          <w:pPr>
            <w:pStyle w:val="RTCaptionText"/>
            <w:rPr>
              <w:i w:val="0"/>
            </w:rPr>
          </w:pPr>
          <w:r w:rsidRPr="007F6F2D">
            <w:rPr>
              <w:i w:val="0"/>
            </w:rPr>
            <w:t xml:space="preserve">First published </w:t>
          </w:r>
          <w:r>
            <w:rPr>
              <w:i w:val="0"/>
            </w:rPr>
            <w:t>in 2017</w:t>
          </w:r>
          <w:r w:rsidRPr="007F6F2D">
            <w:rPr>
              <w:i w:val="0"/>
            </w:rPr>
            <w:br/>
            <w:t>by Amnesty International Ltd</w:t>
          </w:r>
          <w:r w:rsidRPr="007F6F2D">
            <w:rPr>
              <w:i w:val="0"/>
            </w:rPr>
            <w:br/>
            <w:t xml:space="preserve">Peter </w:t>
          </w:r>
          <w:proofErr w:type="spellStart"/>
          <w:r w:rsidRPr="007F6F2D">
            <w:rPr>
              <w:i w:val="0"/>
            </w:rPr>
            <w:t>Benenson</w:t>
          </w:r>
          <w:proofErr w:type="spellEnd"/>
          <w:r w:rsidRPr="007F6F2D">
            <w:rPr>
              <w:i w:val="0"/>
            </w:rPr>
            <w:t xml:space="preserve"> House, 1 Easton Street</w:t>
          </w:r>
          <w:r w:rsidRPr="007F6F2D">
            <w:rPr>
              <w:i w:val="0"/>
            </w:rPr>
            <w:br/>
            <w:t>London WC1X 0DW, UK</w:t>
          </w:r>
        </w:p>
        <w:p w14:paraId="025AD477" w14:textId="77777777" w:rsidR="00876AA0" w:rsidRDefault="00876AA0" w:rsidP="00A661F1">
          <w:pPr>
            <w:pStyle w:val="RTCaptionText"/>
            <w:rPr>
              <w:i w:val="0"/>
            </w:rPr>
          </w:pPr>
        </w:p>
        <w:p w14:paraId="71957D45" w14:textId="3462E5BC" w:rsidR="00876AA0" w:rsidRPr="00EA7215" w:rsidRDefault="00876AA0" w:rsidP="00A661F1">
          <w:pPr>
            <w:pStyle w:val="RTCaptionText"/>
            <w:rPr>
              <w:i w:val="0"/>
              <w:sz w:val="18"/>
              <w:szCs w:val="18"/>
            </w:rPr>
          </w:pPr>
          <w:r>
            <w:rPr>
              <w:b/>
              <w:i w:val="0"/>
              <w:sz w:val="18"/>
              <w:szCs w:val="18"/>
            </w:rPr>
            <w:t>Index:  AMR 51/6203/2017</w:t>
          </w:r>
          <w:r w:rsidRPr="00EA7215">
            <w:rPr>
              <w:b/>
              <w:i w:val="0"/>
              <w:sz w:val="18"/>
              <w:szCs w:val="18"/>
            </w:rPr>
            <w:br/>
            <w:t>Original language: English</w:t>
          </w:r>
        </w:p>
      </w:tc>
      <w:tc>
        <w:tcPr>
          <w:tcW w:w="2583" w:type="dxa"/>
          <w:vAlign w:val="bottom"/>
        </w:tcPr>
        <w:p w14:paraId="0EF3A813" w14:textId="77777777" w:rsidR="00876AA0" w:rsidRPr="007F6F2D" w:rsidRDefault="00876AA0" w:rsidP="00A661F1">
          <w:pPr>
            <w:pStyle w:val="RTCaptionText"/>
            <w:rPr>
              <w:b/>
              <w:i w:val="0"/>
            </w:rPr>
          </w:pPr>
          <w:r w:rsidRPr="007F6F2D">
            <w:rPr>
              <w:b/>
              <w:i w:val="0"/>
            </w:rPr>
            <w:br/>
          </w:r>
        </w:p>
      </w:tc>
      <w:tc>
        <w:tcPr>
          <w:tcW w:w="5147" w:type="dxa"/>
          <w:vAlign w:val="bottom"/>
        </w:tcPr>
        <w:p w14:paraId="34838997" w14:textId="77777777" w:rsidR="00876AA0" w:rsidRPr="00886391" w:rsidRDefault="00876AA0" w:rsidP="00A661F1">
          <w:pPr>
            <w:pStyle w:val="Footer"/>
            <w:tabs>
              <w:tab w:val="left" w:pos="880"/>
            </w:tabs>
            <w:spacing w:line="240" w:lineRule="exact"/>
            <w:rPr>
              <w:rFonts w:ascii="Amnesty Trade Gothic Cn" w:hAnsi="Amnesty Trade Gothic Cn" w:cs="AmnestyTradeGothic-BdCn20"/>
              <w:bCs/>
              <w:szCs w:val="16"/>
            </w:rPr>
          </w:pPr>
        </w:p>
      </w:tc>
    </w:tr>
    <w:tr w:rsidR="00876AA0" w14:paraId="25B0CC4C" w14:textId="77777777" w:rsidTr="00A661F1">
      <w:trPr>
        <w:trHeight w:val="412"/>
      </w:trPr>
      <w:tc>
        <w:tcPr>
          <w:tcW w:w="10424" w:type="dxa"/>
          <w:gridSpan w:val="3"/>
          <w:vAlign w:val="bottom"/>
        </w:tcPr>
        <w:p w14:paraId="477319C7" w14:textId="77777777" w:rsidR="00876AA0" w:rsidRDefault="00876AA0" w:rsidP="00A661F1">
          <w:pPr>
            <w:pStyle w:val="RTAmnestywebaddress"/>
          </w:pPr>
          <w:r>
            <w:t>a</w:t>
          </w:r>
          <w:r w:rsidRPr="00222A74">
            <w:t>mnesty.org</w:t>
          </w:r>
        </w:p>
      </w:tc>
    </w:tr>
  </w:tbl>
  <w:p w14:paraId="0A9A53C2" w14:textId="77777777" w:rsidR="00876AA0" w:rsidRPr="00B179F3" w:rsidRDefault="00876AA0" w:rsidP="00290B00">
    <w:pPr>
      <w:pStyle w:val="Footer"/>
      <w:tabs>
        <w:tab w:val="left" w:pos="880"/>
      </w:tabs>
    </w:pPr>
  </w:p>
  <w:p w14:paraId="5D8BEC47" w14:textId="77777777" w:rsidR="00876AA0" w:rsidRPr="00552CB7" w:rsidRDefault="00876AA0" w:rsidP="00552CB7">
    <w:pPr>
      <w:pStyle w:val="Footer"/>
    </w:pPr>
    <w:r w:rsidRPr="00AE5E82">
      <w:rPr>
        <w:noProof/>
        <w:lang w:val="fr-CA" w:eastAsia="zh-CN"/>
      </w:rPr>
      <w:drawing>
        <wp:anchor distT="0" distB="0" distL="114300" distR="114300" simplePos="0" relativeHeight="251665920" behindDoc="1" locked="1" layoutInCell="0" allowOverlap="1" wp14:anchorId="5C9D6AEB" wp14:editId="1E1BA472">
          <wp:simplePos x="0" y="0"/>
          <wp:positionH relativeFrom="page">
            <wp:posOffset>5768340</wp:posOffset>
          </wp:positionH>
          <wp:positionV relativeFrom="page">
            <wp:posOffset>8852535</wp:posOffset>
          </wp:positionV>
          <wp:extent cx="1468755" cy="626110"/>
          <wp:effectExtent l="0" t="0" r="0" b="254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600.jpg"/>
                  <pic:cNvPicPr/>
                </pic:nvPicPr>
                <pic:blipFill>
                  <a:blip r:embed="rId3">
                    <a:extLst>
                      <a:ext uri="{28A0092B-C50C-407E-A947-70E740481C1C}">
                        <a14:useLocalDpi xmlns:a14="http://schemas.microsoft.com/office/drawing/2010/main" val="0"/>
                      </a:ext>
                    </a:extLst>
                  </a:blip>
                  <a:stretch>
                    <a:fillRect/>
                  </a:stretch>
                </pic:blipFill>
                <pic:spPr>
                  <a:xfrm>
                    <a:off x="0" y="0"/>
                    <a:ext cx="1468755" cy="62611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xmlns:w15="http://schemas.microsoft.com/office/word/2012/wordml"/>
                    </a:ext>
                  </a:extLst>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340370" w14:textId="77777777" w:rsidR="00876AA0" w:rsidRPr="00CB0FBD" w:rsidRDefault="00876AA0" w:rsidP="00CB0FBD">
    <w:r w:rsidRPr="00CB0FBD">
      <w:rPr>
        <w:noProof/>
        <w:lang w:val="fr-CA" w:eastAsia="zh-CN"/>
      </w:rPr>
      <w:drawing>
        <wp:anchor distT="0" distB="0" distL="114300" distR="114300" simplePos="0" relativeHeight="251656192" behindDoc="1" locked="1" layoutInCell="1" allowOverlap="1" wp14:anchorId="2580728C" wp14:editId="4BB72320">
          <wp:simplePos x="0" y="0"/>
          <wp:positionH relativeFrom="page">
            <wp:posOffset>5784850</wp:posOffset>
          </wp:positionH>
          <wp:positionV relativeFrom="page">
            <wp:posOffset>8921115</wp:posOffset>
          </wp:positionV>
          <wp:extent cx="1468755" cy="624840"/>
          <wp:effectExtent l="0" t="0" r="4445" b="1016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600.jpg"/>
                  <pic:cNvPicPr/>
                </pic:nvPicPr>
                <pic:blipFill>
                  <a:blip r:embed="rId1">
                    <a:extLst>
                      <a:ext uri="{28A0092B-C50C-407E-A947-70E740481C1C}">
                        <a14:useLocalDpi xmlns:a14="http://schemas.microsoft.com/office/drawing/2010/main" val="0"/>
                      </a:ext>
                    </a:extLst>
                  </a:blip>
                  <a:stretch>
                    <a:fillRect/>
                  </a:stretch>
                </pic:blipFill>
                <pic:spPr>
                  <a:xfrm>
                    <a:off x="0" y="0"/>
                    <a:ext cx="1468755" cy="624840"/>
                  </a:xfrm>
                  <a:prstGeom prst="rect">
                    <a:avLst/>
                  </a:prstGeom>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cx2="http://schemas.microsoft.com/office/drawing/2015/10/21/chartex" xmlns:cx1="http://schemas.microsoft.com/office/drawing/2015/9/8/chartex" xmlns:cx="http://schemas.microsoft.com/office/drawing/2014/chartex" xmlns:w15="http://schemas.microsoft.com/office/word/2012/wordml"/>
                    </a:ext>
                  </a:extLst>
                </pic:spPr>
              </pic:pic>
            </a:graphicData>
          </a:graphic>
          <wp14:sizeRelH relativeFrom="page">
            <wp14:pctWidth>0</wp14:pctWidth>
          </wp14:sizeRelH>
          <wp14:sizeRelV relativeFrom="page">
            <wp14:pctHeight>0</wp14:pctHeight>
          </wp14:sizeRelV>
        </wp:anchor>
      </w:drawing>
    </w:r>
  </w:p>
  <w:p w14:paraId="1A74AA8B" w14:textId="77777777" w:rsidR="00876AA0" w:rsidRPr="00CB0FBD" w:rsidRDefault="00876AA0" w:rsidP="00CB0FBD"/>
  <w:p w14:paraId="08BF5B95" w14:textId="77777777" w:rsidR="00876AA0" w:rsidRPr="00CB0FBD" w:rsidRDefault="00876AA0" w:rsidP="00CB0FBD"/>
  <w:p w14:paraId="302928BD" w14:textId="77777777" w:rsidR="00876AA0" w:rsidRPr="00CB0FBD" w:rsidRDefault="00876AA0" w:rsidP="00CB0FBD"/>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E3B789" w14:textId="1DC83EA2" w:rsidR="00876AA0" w:rsidRPr="00914551" w:rsidRDefault="00876AA0" w:rsidP="00914551">
    <w:pPr>
      <w:pStyle w:val="RTFooterreporttitle"/>
    </w:pPr>
    <w:r>
      <w:t>criminalizing pregnancy</w:t>
    </w:r>
    <w:r w:rsidRPr="00914551">
      <w:tab/>
    </w:r>
  </w:p>
  <w:p w14:paraId="4904F5DC" w14:textId="35AC8787" w:rsidR="00876AA0" w:rsidRPr="00914551" w:rsidRDefault="00876AA0" w:rsidP="00914551">
    <w:pPr>
      <w:pStyle w:val="RTFooterreportsubtitle"/>
    </w:pPr>
    <w:r>
      <w:t>policing pregnant women who use drugs in the usa</w:t>
    </w:r>
    <w:r w:rsidRPr="00914551">
      <w:tab/>
    </w:r>
  </w:p>
  <w:p w14:paraId="5E58D2C2" w14:textId="77777777" w:rsidR="00876AA0" w:rsidRPr="00914551" w:rsidRDefault="00876AA0" w:rsidP="00914551">
    <w:pPr>
      <w:pStyle w:val="RTAmnestyfooter"/>
    </w:pPr>
    <w:r w:rsidRPr="00914551">
      <w:t>Amnesty International</w:t>
    </w:r>
    <w:r w:rsidRPr="00914551">
      <w:tab/>
    </w:r>
    <w:r>
      <w:fldChar w:fldCharType="begin"/>
    </w:r>
    <w:r>
      <w:instrText xml:space="preserve"> PAGE  \* Arabic  \* MERGEFORMAT </w:instrText>
    </w:r>
    <w:r>
      <w:fldChar w:fldCharType="separate"/>
    </w:r>
    <w:r w:rsidR="00D854A5">
      <w:rPr>
        <w:noProof/>
      </w:rPr>
      <w:t>68</w:t>
    </w:r>
    <w: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A8FEFC" w14:textId="3DC0F5C1" w:rsidR="00876AA0" w:rsidRPr="00706917" w:rsidRDefault="00876AA0" w:rsidP="00886391">
    <w:pPr>
      <w:pStyle w:val="RTFooterText"/>
      <w:spacing w:after="0" w:line="180" w:lineRule="exact"/>
      <w:rPr>
        <w:szCs w:val="18"/>
      </w:rPr>
    </w:pPr>
    <w:r w:rsidRPr="004F5223">
      <w:t>Index</w:t>
    </w:r>
    <w:r>
      <w:rPr>
        <w:szCs w:val="18"/>
      </w:rPr>
      <w:t>:  AMR 51/6203/2017</w:t>
    </w:r>
    <w:r w:rsidRPr="00706917">
      <w:rPr>
        <w:szCs w:val="18"/>
      </w:rPr>
      <w:br/>
    </w:r>
    <w:r w:rsidRPr="00706917">
      <w:rPr>
        <w:noProof/>
        <w:szCs w:val="18"/>
        <w:lang w:val="fr-CA" w:eastAsia="zh-CN"/>
      </w:rPr>
      <w:drawing>
        <wp:anchor distT="0" distB="0" distL="114300" distR="114300" simplePos="0" relativeHeight="251655680" behindDoc="0" locked="1" layoutInCell="1" allowOverlap="1" wp14:anchorId="4BCB5A4A" wp14:editId="5353B6A7">
          <wp:simplePos x="0" y="0"/>
          <wp:positionH relativeFrom="page">
            <wp:posOffset>5584190</wp:posOffset>
          </wp:positionH>
          <wp:positionV relativeFrom="page">
            <wp:posOffset>9544685</wp:posOffset>
          </wp:positionV>
          <wp:extent cx="1468800" cy="626400"/>
          <wp:effectExtent l="0" t="0" r="0" b="254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600.jpg"/>
                  <pic:cNvPicPr/>
                </pic:nvPicPr>
                <pic:blipFill>
                  <a:blip r:embed="rId1">
                    <a:extLst>
                      <a:ext uri="{28A0092B-C50C-407E-A947-70E740481C1C}">
                        <a14:useLocalDpi xmlns:a14="http://schemas.microsoft.com/office/drawing/2010/main" val="0"/>
                      </a:ext>
                    </a:extLst>
                  </a:blip>
                  <a:stretch>
                    <a:fillRect/>
                  </a:stretch>
                </pic:blipFill>
                <pic:spPr>
                  <a:xfrm>
                    <a:off x="0" y="0"/>
                    <a:ext cx="1468800" cy="62640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cx2="http://schemas.microsoft.com/office/drawing/2015/10/21/chartex" xmlns:cx1="http://schemas.microsoft.com/office/drawing/2015/9/8/chartex" xmlns:cx="http://schemas.microsoft.com/office/drawing/2014/chartex" xmlns:w15="http://schemas.microsoft.com/office/word/2012/wordml"/>
                    </a:ext>
                  </a:extLst>
                </pic:spPr>
              </pic:pic>
            </a:graphicData>
          </a:graphic>
          <wp14:sizeRelH relativeFrom="page">
            <wp14:pctWidth>0</wp14:pctWidth>
          </wp14:sizeRelH>
          <wp14:sizeRelV relativeFrom="page">
            <wp14:pctHeight>0</wp14:pctHeight>
          </wp14:sizeRelV>
        </wp:anchor>
      </w:drawing>
    </w:r>
    <w:r>
      <w:rPr>
        <w:szCs w:val="18"/>
      </w:rPr>
      <w:t>MAY 2017</w:t>
    </w:r>
    <w:r w:rsidRPr="00706917">
      <w:rPr>
        <w:szCs w:val="18"/>
      </w:rPr>
      <w:br/>
      <w:t>Language: English</w:t>
    </w:r>
  </w:p>
  <w:p w14:paraId="6D4AB168" w14:textId="77777777" w:rsidR="00876AA0" w:rsidRPr="0091768C" w:rsidRDefault="00876AA0" w:rsidP="00886391">
    <w:pPr>
      <w:pStyle w:val="RTAmnestywebaddress"/>
      <w:spacing w:before="0"/>
    </w:pPr>
    <w:r w:rsidRPr="004F5223">
      <w:t>amnesty.org</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pPr w:leftFromText="181" w:rightFromText="181" w:vertAnchor="page" w:horzAnchor="page" w:tblpX="2042" w:tblpY="13155"/>
      <w:tblOverlap w:val="never"/>
      <w:tblW w:w="82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881"/>
      <w:gridCol w:w="4341"/>
    </w:tblGrid>
    <w:tr w:rsidR="00876AA0" w:rsidRPr="00472CD3" w14:paraId="0B0A0E4C" w14:textId="77777777" w:rsidTr="00FB1D19">
      <w:tc>
        <w:tcPr>
          <w:tcW w:w="5264" w:type="dxa"/>
        </w:tcPr>
        <w:p w14:paraId="33E8479C" w14:textId="77777777" w:rsidR="00876AA0" w:rsidRPr="00472CD3" w:rsidRDefault="00876AA0" w:rsidP="00472CD3">
          <w:pPr>
            <w:pStyle w:val="RTBackcoversubheading"/>
            <w:framePr w:hSpace="0" w:wrap="auto" w:vAnchor="margin" w:hAnchor="text" w:xAlign="left" w:yAlign="inline"/>
            <w:suppressOverlap w:val="0"/>
          </w:pPr>
          <w:r w:rsidRPr="00472CD3">
            <w:t>Contact us</w:t>
          </w:r>
        </w:p>
      </w:tc>
      <w:tc>
        <w:tcPr>
          <w:tcW w:w="5264" w:type="dxa"/>
        </w:tcPr>
        <w:p w14:paraId="710FED28" w14:textId="77777777" w:rsidR="00876AA0" w:rsidRPr="00472CD3" w:rsidRDefault="00876AA0" w:rsidP="00472CD3">
          <w:pPr>
            <w:pStyle w:val="RTBackcoversubheading"/>
            <w:framePr w:hSpace="0" w:wrap="auto" w:vAnchor="margin" w:hAnchor="text" w:xAlign="left" w:yAlign="inline"/>
            <w:suppressOverlap w:val="0"/>
          </w:pPr>
          <w:r w:rsidRPr="00472CD3">
            <w:t>Join the conversation</w:t>
          </w:r>
        </w:p>
      </w:tc>
    </w:tr>
    <w:tr w:rsidR="00876AA0" w14:paraId="6274C7AB" w14:textId="77777777" w:rsidTr="00FB1D19">
      <w:tc>
        <w:tcPr>
          <w:tcW w:w="5264" w:type="dxa"/>
          <w:tcMar>
            <w:top w:w="113" w:type="dxa"/>
          </w:tcMar>
        </w:tcPr>
        <w:p w14:paraId="1BD32957" w14:textId="77777777" w:rsidR="00876AA0" w:rsidRDefault="00876AA0" w:rsidP="00E20D98">
          <w:pPr>
            <w:pStyle w:val="RTBodyText"/>
          </w:pPr>
          <w:r>
            <w:rPr>
              <w:noProof/>
              <w:lang w:val="fr-CA" w:eastAsia="zh-CN"/>
            </w:rPr>
            <w:drawing>
              <wp:anchor distT="0" distB="0" distL="114300" distR="114300" simplePos="0" relativeHeight="251649536" behindDoc="0" locked="0" layoutInCell="1" allowOverlap="1" wp14:anchorId="4D93027A" wp14:editId="1BD2EC0C">
                <wp:simplePos x="0" y="0"/>
                <wp:positionH relativeFrom="column">
                  <wp:posOffset>0</wp:posOffset>
                </wp:positionH>
                <wp:positionV relativeFrom="paragraph">
                  <wp:posOffset>-459105</wp:posOffset>
                </wp:positionV>
                <wp:extent cx="340995" cy="583565"/>
                <wp:effectExtent l="0" t="0" r="0" b="63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lcall600.png"/>
                        <pic:cNvPicPr/>
                      </pic:nvPicPr>
                      <pic:blipFill>
                        <a:blip r:embed="rId1">
                          <a:extLst>
                            <a:ext uri="{28A0092B-C50C-407E-A947-70E740481C1C}">
                              <a14:useLocalDpi xmlns:a14="http://schemas.microsoft.com/office/drawing/2010/main" val="0"/>
                            </a:ext>
                          </a:extLst>
                        </a:blip>
                        <a:stretch>
                          <a:fillRect/>
                        </a:stretch>
                      </pic:blipFill>
                      <pic:spPr>
                        <a:xfrm>
                          <a:off x="0" y="0"/>
                          <a:ext cx="340995" cy="583565"/>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cx2="http://schemas.microsoft.com/office/drawing/2015/10/21/chartex" xmlns:cx1="http://schemas.microsoft.com/office/drawing/2015/9/8/chartex" xmlns:cx="http://schemas.microsoft.com/office/drawing/2014/chartex" xmlns:w15="http://schemas.microsoft.com/office/word/2012/wordml"/>
                          </a:ext>
                        </a:extLst>
                      </pic:spPr>
                    </pic:pic>
                  </a:graphicData>
                </a:graphic>
                <wp14:sizeRelH relativeFrom="page">
                  <wp14:pctWidth>0</wp14:pctWidth>
                </wp14:sizeRelH>
                <wp14:sizeRelV relativeFrom="page">
                  <wp14:pctHeight>0</wp14:pctHeight>
                </wp14:sizeRelV>
              </wp:anchor>
            </w:drawing>
          </w:r>
          <w:hyperlink r:id="rId2" w:history="1">
            <w:r w:rsidRPr="00EA4C40">
              <w:t>info@amnesty.org</w:t>
            </w:r>
          </w:hyperlink>
        </w:p>
        <w:p w14:paraId="0EE5BD22" w14:textId="77777777" w:rsidR="00876AA0" w:rsidRDefault="00876AA0" w:rsidP="00E20D98">
          <w:pPr>
            <w:pStyle w:val="RTBodyText"/>
          </w:pPr>
        </w:p>
        <w:p w14:paraId="1E95829E" w14:textId="77777777" w:rsidR="00876AA0" w:rsidRDefault="00876AA0" w:rsidP="00E20D98">
          <w:pPr>
            <w:pStyle w:val="RTBodyText"/>
          </w:pPr>
          <w:r>
            <w:t>+44 (0)20 7413 5500</w:t>
          </w:r>
        </w:p>
      </w:tc>
      <w:tc>
        <w:tcPr>
          <w:tcW w:w="5264" w:type="dxa"/>
          <w:tcMar>
            <w:top w:w="113" w:type="dxa"/>
          </w:tcMar>
        </w:tcPr>
        <w:p w14:paraId="68C0A2E4" w14:textId="77777777" w:rsidR="00876AA0" w:rsidRDefault="00876AA0" w:rsidP="00E20D98">
          <w:pPr>
            <w:pStyle w:val="RTBodyText"/>
          </w:pPr>
          <w:r>
            <w:rPr>
              <w:noProof/>
              <w:lang w:val="fr-CA" w:eastAsia="zh-CN"/>
            </w:rPr>
            <w:drawing>
              <wp:anchor distT="0" distB="0" distL="114300" distR="114300" simplePos="0" relativeHeight="251663872" behindDoc="0" locked="0" layoutInCell="1" allowOverlap="1" wp14:anchorId="05B64727" wp14:editId="3CD45EE3">
                <wp:simplePos x="0" y="0"/>
                <wp:positionH relativeFrom="column">
                  <wp:posOffset>3810</wp:posOffset>
                </wp:positionH>
                <wp:positionV relativeFrom="paragraph">
                  <wp:posOffset>-487680</wp:posOffset>
                </wp:positionV>
                <wp:extent cx="240665" cy="596900"/>
                <wp:effectExtent l="0" t="0" r="0" b="1270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etwit600.png"/>
                        <pic:cNvPicPr/>
                      </pic:nvPicPr>
                      <pic:blipFill>
                        <a:blip r:embed="rId3">
                          <a:extLst>
                            <a:ext uri="{28A0092B-C50C-407E-A947-70E740481C1C}">
                              <a14:useLocalDpi xmlns:a14="http://schemas.microsoft.com/office/drawing/2010/main" val="0"/>
                            </a:ext>
                          </a:extLst>
                        </a:blip>
                        <a:stretch>
                          <a:fillRect/>
                        </a:stretch>
                      </pic:blipFill>
                      <pic:spPr>
                        <a:xfrm>
                          <a:off x="0" y="0"/>
                          <a:ext cx="240665" cy="59690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cx2="http://schemas.microsoft.com/office/drawing/2015/10/21/chartex" xmlns:cx1="http://schemas.microsoft.com/office/drawing/2015/9/8/chartex" xmlns:cx="http://schemas.microsoft.com/office/drawing/2014/chartex" xmlns:w15="http://schemas.microsoft.com/office/word/2012/wordml"/>
                          </a:ext>
                        </a:extLst>
                      </pic:spPr>
                    </pic:pic>
                  </a:graphicData>
                </a:graphic>
                <wp14:sizeRelH relativeFrom="page">
                  <wp14:pctWidth>0</wp14:pctWidth>
                </wp14:sizeRelH>
                <wp14:sizeRelV relativeFrom="page">
                  <wp14:pctHeight>0</wp14:pctHeight>
                </wp14:sizeRelV>
              </wp:anchor>
            </w:drawing>
          </w:r>
          <w:hyperlink r:id="rId4" w:history="1">
            <w:r w:rsidRPr="00EA4C40">
              <w:t>www.facebook.com/AmnestyGlobal</w:t>
            </w:r>
          </w:hyperlink>
        </w:p>
        <w:p w14:paraId="4135E736" w14:textId="77777777" w:rsidR="00876AA0" w:rsidRDefault="00876AA0" w:rsidP="00E20D98">
          <w:pPr>
            <w:pStyle w:val="RTBodyText"/>
          </w:pPr>
        </w:p>
        <w:p w14:paraId="4BF3C90D" w14:textId="77777777" w:rsidR="00876AA0" w:rsidRDefault="00876AA0" w:rsidP="00E20D98">
          <w:pPr>
            <w:pStyle w:val="RTBodyText"/>
          </w:pPr>
          <w:r>
            <w:t>@</w:t>
          </w:r>
          <w:proofErr w:type="spellStart"/>
          <w:r>
            <w:t>AmnestyOnline</w:t>
          </w:r>
          <w:proofErr w:type="spellEnd"/>
        </w:p>
      </w:tc>
    </w:tr>
  </w:tbl>
  <w:p w14:paraId="351CE40E" w14:textId="77777777" w:rsidR="00876AA0" w:rsidRPr="00826627" w:rsidRDefault="00876AA0" w:rsidP="00627D13">
    <w:pPr>
      <w:pStyle w:val="Footer"/>
      <w:spacing w:before="120" w:after="60"/>
      <w:rPr>
        <w:caps w:val="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AC10B72" w14:textId="77777777" w:rsidR="00AD5CFA" w:rsidRPr="0049688D" w:rsidRDefault="00AD5CFA" w:rsidP="0049688D">
      <w:r>
        <w:continuationSeparator/>
      </w:r>
    </w:p>
  </w:footnote>
  <w:footnote w:type="continuationSeparator" w:id="0">
    <w:p w14:paraId="21019238" w14:textId="77777777" w:rsidR="00AD5CFA" w:rsidRDefault="00AD5CFA" w:rsidP="00AE5E82">
      <w:r>
        <w:continuationSeparator/>
      </w:r>
    </w:p>
  </w:footnote>
  <w:footnote w:id="1">
    <w:p w14:paraId="0366CCB4" w14:textId="3F13928F" w:rsidR="00876AA0" w:rsidRPr="00FB2C4B" w:rsidRDefault="00876AA0" w:rsidP="00FB2C4B">
      <w:pPr>
        <w:pStyle w:val="RTFootnotetext"/>
      </w:pPr>
      <w:r w:rsidRPr="00FB2C4B">
        <w:rPr>
          <w:rStyle w:val="FootnoteReference"/>
          <w:vertAlign w:val="baseline"/>
        </w:rPr>
        <w:footnoteRef/>
      </w:r>
      <w:r w:rsidRPr="00FB2C4B">
        <w:t xml:space="preserve"> See U.S. Department of Health &amp; Human Services, Administration for Children &amp; Families and Children’s Bureau, Child Welfare Information Gateway</w:t>
      </w:r>
      <w:r>
        <w:t xml:space="preserve">, </w:t>
      </w:r>
      <w:hyperlink r:id="rId1" w:history="1">
        <w:r w:rsidRPr="00B72482">
          <w:rPr>
            <w:rStyle w:val="Hyperlink"/>
            <w:u w:val="none"/>
          </w:rPr>
          <w:t>www.childwelfare.gov/topics/can/overview/</w:t>
        </w:r>
      </w:hyperlink>
      <w:r w:rsidRPr="00FB2C4B">
        <w:t xml:space="preserve"> </w:t>
      </w:r>
    </w:p>
  </w:footnote>
  <w:footnote w:id="2">
    <w:p w14:paraId="1E4F564F" w14:textId="770BDE2B" w:rsidR="00876AA0" w:rsidRPr="00FB2C4B" w:rsidRDefault="00876AA0" w:rsidP="00FB2C4B">
      <w:pPr>
        <w:pStyle w:val="RTFootnotetext"/>
      </w:pPr>
      <w:r w:rsidRPr="00FB2C4B">
        <w:rPr>
          <w:rStyle w:val="FootnoteReference"/>
          <w:vertAlign w:val="baseline"/>
        </w:rPr>
        <w:footnoteRef/>
      </w:r>
      <w:r w:rsidRPr="00FB2C4B">
        <w:t xml:space="preserve"> See Fact Sheet: Office of National Drug Control Policy, </w:t>
      </w:r>
      <w:hyperlink r:id="rId2" w:history="1">
        <w:r w:rsidRPr="00FB2C4B">
          <w:rPr>
            <w:rStyle w:val="Hyperlink"/>
            <w:color w:val="000000" w:themeColor="text1"/>
            <w:u w:val="none"/>
          </w:rPr>
          <w:t>www.whitehouse.gov/sites/default/files/ondcp/Fact_Sheets/drug_courts_fact_sheet_5-31-11.pdf</w:t>
        </w:r>
      </w:hyperlink>
    </w:p>
  </w:footnote>
  <w:footnote w:id="3">
    <w:p w14:paraId="64313387" w14:textId="1D57143B" w:rsidR="00876AA0" w:rsidRPr="00FB2C4B" w:rsidRDefault="00876AA0" w:rsidP="00FB2C4B">
      <w:pPr>
        <w:pStyle w:val="RTFootnotetext"/>
      </w:pPr>
      <w:r w:rsidRPr="00FB2C4B">
        <w:rPr>
          <w:rStyle w:val="FootnoteReference"/>
          <w:vertAlign w:val="baseline"/>
        </w:rPr>
        <w:footnoteRef/>
      </w:r>
      <w:r w:rsidRPr="00FB2C4B">
        <w:t xml:space="preserve"> </w:t>
      </w:r>
      <w:proofErr w:type="gramStart"/>
      <w:r w:rsidRPr="00FB2C4B">
        <w:t>Report of the U.N. Special Rapporteur on the right of everyone to the enjoyment of the highest attainable standard of physical and mental health, 6 August 2010, UN Doc.</w:t>
      </w:r>
      <w:proofErr w:type="gramEnd"/>
      <w:r w:rsidRPr="00FB2C4B">
        <w:t xml:space="preserve"> </w:t>
      </w:r>
      <w:proofErr w:type="gramStart"/>
      <w:r w:rsidRPr="00FB2C4B">
        <w:t>A/65/255 at para</w:t>
      </w:r>
      <w:r>
        <w:t>.</w:t>
      </w:r>
      <w:proofErr w:type="gramEnd"/>
      <w:r w:rsidRPr="00FB2C4B">
        <w:t xml:space="preserve"> 7; </w:t>
      </w:r>
      <w:r>
        <w:t>s</w:t>
      </w:r>
      <w:r w:rsidRPr="00FB2C4B">
        <w:t>ee Official Records of the Economic and Social Council, 2010, Supplement No. 8 (E/2010/28), p. 47.</w:t>
      </w:r>
    </w:p>
  </w:footnote>
  <w:footnote w:id="4">
    <w:p w14:paraId="4E92A792" w14:textId="30AFD19C" w:rsidR="00876AA0" w:rsidRPr="00563978" w:rsidRDefault="00876AA0" w:rsidP="00FB2C4B">
      <w:pPr>
        <w:pStyle w:val="RTFootnotetext"/>
      </w:pPr>
      <w:r w:rsidRPr="00FB2C4B">
        <w:rPr>
          <w:rStyle w:val="FootnoteReference"/>
          <w:vertAlign w:val="baseline"/>
        </w:rPr>
        <w:footnoteRef/>
      </w:r>
      <w:r w:rsidRPr="00FB2C4B">
        <w:t xml:space="preserve"> </w:t>
      </w:r>
      <w:proofErr w:type="gramStart"/>
      <w:r w:rsidRPr="00FB2C4B">
        <w:t>Report of the U.N. Special Rapporteur on the right of everyone to the enjoyment of the highest attainable standard of physical and mental health, 6 August 2010, UN Doc.</w:t>
      </w:r>
      <w:proofErr w:type="gramEnd"/>
      <w:r w:rsidRPr="00FB2C4B">
        <w:t xml:space="preserve"> </w:t>
      </w:r>
      <w:proofErr w:type="gramStart"/>
      <w:r w:rsidRPr="00FB2C4B">
        <w:t>A/65/255 at para</w:t>
      </w:r>
      <w:r>
        <w:t>.</w:t>
      </w:r>
      <w:proofErr w:type="gramEnd"/>
      <w:r w:rsidRPr="00FB2C4B">
        <w:t xml:space="preserve"> 7; </w:t>
      </w:r>
      <w:r>
        <w:t>s</w:t>
      </w:r>
      <w:r w:rsidRPr="00FB2C4B">
        <w:t>ee Official Records of the Economic and Social Council, 2010, Supplement No. 8 (E/2010/28), p. 47.</w:t>
      </w:r>
    </w:p>
  </w:footnote>
  <w:footnote w:id="5">
    <w:p w14:paraId="1CE0E566" w14:textId="77777777" w:rsidR="00876AA0" w:rsidRPr="002867CB" w:rsidRDefault="00876AA0" w:rsidP="00070D90">
      <w:pPr>
        <w:pStyle w:val="FootnoteText"/>
      </w:pPr>
      <w:r w:rsidRPr="002867CB">
        <w:footnoteRef/>
      </w:r>
      <w:r w:rsidRPr="002867CB">
        <w:t xml:space="preserve"> </w:t>
      </w:r>
      <w:r>
        <w:t>Interview, Anne</w:t>
      </w:r>
      <w:r w:rsidRPr="002867CB">
        <w:t>, Treatment Center,</w:t>
      </w:r>
      <w:r>
        <w:t xml:space="preserve"> Birmingham, AL,</w:t>
      </w:r>
      <w:r w:rsidRPr="002867CB">
        <w:t xml:space="preserve"> </w:t>
      </w:r>
      <w:r>
        <w:t xml:space="preserve">27 </w:t>
      </w:r>
      <w:r w:rsidRPr="002867CB">
        <w:t>January 2015</w:t>
      </w:r>
      <w:r>
        <w:t>.</w:t>
      </w:r>
    </w:p>
  </w:footnote>
  <w:footnote w:id="6">
    <w:p w14:paraId="7ACD4B20" w14:textId="77777777" w:rsidR="00876AA0" w:rsidRDefault="00876AA0" w:rsidP="00070D90">
      <w:pPr>
        <w:pStyle w:val="FootnoteText"/>
      </w:pPr>
      <w:r>
        <w:footnoteRef/>
      </w:r>
      <w:r>
        <w:t xml:space="preserve"> </w:t>
      </w:r>
      <w:r w:rsidRPr="00BA71DF">
        <w:t>Interview, Anne, Treatment Center, Birmingham, AL</w:t>
      </w:r>
      <w:r>
        <w:t>,</w:t>
      </w:r>
      <w:r w:rsidRPr="00BA71DF">
        <w:t xml:space="preserve"> 27 January 2015.</w:t>
      </w:r>
    </w:p>
  </w:footnote>
  <w:footnote w:id="7">
    <w:p w14:paraId="30C7F8FF" w14:textId="77777777" w:rsidR="00876AA0" w:rsidRDefault="00876AA0" w:rsidP="00070D90">
      <w:pPr>
        <w:pStyle w:val="FootnoteText"/>
      </w:pPr>
      <w:r>
        <w:footnoteRef/>
      </w:r>
      <w:r>
        <w:t xml:space="preserve"> </w:t>
      </w:r>
      <w:r w:rsidRPr="00BA71DF">
        <w:t>Interview, Anne, Treatment Center, Birmingham, AL</w:t>
      </w:r>
      <w:r>
        <w:t>,</w:t>
      </w:r>
      <w:r w:rsidRPr="00BA71DF">
        <w:t xml:space="preserve"> 27 January 2015.</w:t>
      </w:r>
    </w:p>
  </w:footnote>
  <w:footnote w:id="8">
    <w:p w14:paraId="02A8178C" w14:textId="77777777" w:rsidR="00876AA0" w:rsidRDefault="00876AA0" w:rsidP="00070D90">
      <w:pPr>
        <w:pStyle w:val="FootnoteText"/>
      </w:pPr>
      <w:r>
        <w:footnoteRef/>
      </w:r>
      <w:r>
        <w:t xml:space="preserve"> </w:t>
      </w:r>
      <w:r w:rsidRPr="00BA71DF">
        <w:t>Interview, Anne, Treatment Center, Birmingham, AL</w:t>
      </w:r>
      <w:r>
        <w:t>,</w:t>
      </w:r>
      <w:r w:rsidRPr="00BA71DF">
        <w:t xml:space="preserve"> 27 January 2015.</w:t>
      </w:r>
    </w:p>
  </w:footnote>
  <w:footnote w:id="9">
    <w:p w14:paraId="059BFF39" w14:textId="441A1CF6" w:rsidR="00876AA0" w:rsidRPr="003F077F" w:rsidRDefault="00876AA0" w:rsidP="003F077F">
      <w:pPr>
        <w:pStyle w:val="RTFootnotetext"/>
      </w:pPr>
      <w:r w:rsidRPr="003F077F">
        <w:footnoteRef/>
      </w:r>
      <w:r w:rsidRPr="003F077F">
        <w:t xml:space="preserve"> L. Paltrow &amp; J. Flavin, </w:t>
      </w:r>
      <w:r>
        <w:t>‘</w:t>
      </w:r>
      <w:r w:rsidRPr="003F077F">
        <w:t>Arrests of and forced interventions on pregnant women in the United States (1973-2005): The implications for women's legal status and public health</w:t>
      </w:r>
      <w:r>
        <w:t>’</w:t>
      </w:r>
      <w:r w:rsidRPr="003F077F">
        <w:t>, Journal of Health Politics, Policy and Law, 2013</w:t>
      </w:r>
      <w:r>
        <w:t>.</w:t>
      </w:r>
    </w:p>
  </w:footnote>
  <w:footnote w:id="10">
    <w:p w14:paraId="4C9AEB60" w14:textId="38D5F052" w:rsidR="00876AA0" w:rsidRDefault="00876AA0" w:rsidP="003F077F">
      <w:pPr>
        <w:pStyle w:val="RTFootnotetext"/>
      </w:pPr>
      <w:r w:rsidRPr="003F077F">
        <w:footnoteRef/>
      </w:r>
      <w:r w:rsidRPr="003F077F">
        <w:t xml:space="preserve"> For examples, </w:t>
      </w:r>
      <w:r>
        <w:t>s</w:t>
      </w:r>
      <w:r w:rsidRPr="003F077F">
        <w:t xml:space="preserve">ee Supreme Court of Arkansas, </w:t>
      </w:r>
      <w:r w:rsidRPr="008C1499">
        <w:rPr>
          <w:i/>
        </w:rPr>
        <w:t>Melissa McCann Arms v State of Arkansas</w:t>
      </w:r>
      <w:r w:rsidRPr="003F077F">
        <w:t xml:space="preserve"> </w:t>
      </w:r>
      <w:hyperlink r:id="rId3" w:history="1">
        <w:r w:rsidRPr="003F077F">
          <w:rPr>
            <w:rStyle w:val="Hyperlink"/>
            <w:color w:val="000000" w:themeColor="text1"/>
            <w:u w:val="none"/>
          </w:rPr>
          <w:t>http://opinions.aoc.arkansas.gov/WebLink8/0/doc/335588/Electronic.aspx</w:t>
        </w:r>
      </w:hyperlink>
    </w:p>
  </w:footnote>
  <w:footnote w:id="11">
    <w:p w14:paraId="6E449F26" w14:textId="4E2F755A" w:rsidR="00876AA0" w:rsidRPr="002867CB" w:rsidRDefault="00876AA0" w:rsidP="003F077F">
      <w:pPr>
        <w:pStyle w:val="FootnoteText"/>
      </w:pPr>
      <w:r w:rsidRPr="002867CB">
        <w:footnoteRef/>
      </w:r>
      <w:r w:rsidRPr="002867CB">
        <w:t xml:space="preserve"> </w:t>
      </w:r>
      <w:r w:rsidRPr="00DA35AA">
        <w:t xml:space="preserve">L. Paltrow &amp; J. Flavin, </w:t>
      </w:r>
      <w:r>
        <w:t>‘</w:t>
      </w:r>
      <w:r w:rsidRPr="00DA35AA">
        <w:t>Arrests of and forced interventions on pregnant women in the United States (1973-2005): The implications for women's legal status and public health</w:t>
      </w:r>
      <w:r>
        <w:t>’</w:t>
      </w:r>
      <w:r w:rsidRPr="00DA35AA">
        <w:t>, Journal of Health Politics, Policy and Law, 2013</w:t>
      </w:r>
      <w:r>
        <w:t>.</w:t>
      </w:r>
    </w:p>
  </w:footnote>
  <w:footnote w:id="12">
    <w:p w14:paraId="599A6B31" w14:textId="223794AF" w:rsidR="00876AA0" w:rsidRPr="002867CB" w:rsidRDefault="00876AA0" w:rsidP="003F077F">
      <w:pPr>
        <w:pStyle w:val="FootnoteText"/>
      </w:pPr>
      <w:r w:rsidRPr="002867CB">
        <w:footnoteRef/>
      </w:r>
      <w:r w:rsidRPr="002867CB">
        <w:t xml:space="preserve"> </w:t>
      </w:r>
      <w:r>
        <w:t xml:space="preserve">Interview, Nina Martin, Nashville, TN, 2 October 2015, also see: ‘How We Identified Alabama Pregnancy Prosecutions, </w:t>
      </w:r>
      <w:r w:rsidRPr="00A7797A">
        <w:t>www.propublica.org/article/how-we-identified-alabama-pregnancy-prosecutions</w:t>
      </w:r>
    </w:p>
  </w:footnote>
  <w:footnote w:id="13">
    <w:p w14:paraId="140F1058" w14:textId="77777777" w:rsidR="00876AA0" w:rsidRDefault="00876AA0" w:rsidP="003F077F">
      <w:pPr>
        <w:pStyle w:val="FootnoteText"/>
      </w:pPr>
      <w:r>
        <w:footnoteRef/>
      </w:r>
      <w:r>
        <w:t xml:space="preserve"> This number comes from cases identified through Josh </w:t>
      </w:r>
      <w:proofErr w:type="spellStart"/>
      <w:r>
        <w:t>Spickler</w:t>
      </w:r>
      <w:proofErr w:type="spellEnd"/>
      <w:r>
        <w:t>, Executive Director of Just City, a criminal justice organization in Memphis, TN, the results of a survey of Tennessee District Attorneys, and reports from individual District Attorneys published in local news outlets. For more information on these sources, see the chapter on this law.</w:t>
      </w:r>
    </w:p>
  </w:footnote>
  <w:footnote w:id="14">
    <w:p w14:paraId="20F2B5C5" w14:textId="112872D2" w:rsidR="00876AA0" w:rsidRDefault="00876AA0" w:rsidP="003F077F">
      <w:pPr>
        <w:pStyle w:val="FootnoteText"/>
      </w:pPr>
      <w:r>
        <w:footnoteRef/>
      </w:r>
      <w:r>
        <w:t xml:space="preserve"> Alabama Senate Bill 372 Passed 4 May 2016, </w:t>
      </w:r>
      <w:r w:rsidRPr="00FD4561">
        <w:t>legiscan.com/AL/text/SB372/2016</w:t>
      </w:r>
    </w:p>
  </w:footnote>
  <w:footnote w:id="15">
    <w:p w14:paraId="1A340A14" w14:textId="57C99C48" w:rsidR="00876AA0" w:rsidRPr="002867CB" w:rsidRDefault="00876AA0" w:rsidP="003F077F">
      <w:pPr>
        <w:pStyle w:val="FootnoteText"/>
      </w:pPr>
      <w:r w:rsidRPr="002867CB">
        <w:footnoteRef/>
      </w:r>
      <w:r w:rsidRPr="002867CB">
        <w:t xml:space="preserve"> The bills are: Arkansas HB 1376, Mississippi HB 559, Mississippi HB 610, Mississippi SB 2272, Missouri HB 1284, North Carolina SB297, </w:t>
      </w:r>
      <w:proofErr w:type="gramStart"/>
      <w:r w:rsidRPr="002867CB">
        <w:t>Oklahoma</w:t>
      </w:r>
      <w:proofErr w:type="gramEnd"/>
      <w:r w:rsidRPr="002867CB">
        <w:t xml:space="preserve"> SB 559. </w:t>
      </w:r>
      <w:proofErr w:type="gramStart"/>
      <w:r w:rsidRPr="002867CB">
        <w:t>Information on the tracking of these state bills provided by National Advocates for Pregnant Women.</w:t>
      </w:r>
      <w:proofErr w:type="gramEnd"/>
      <w:r>
        <w:t xml:space="preserve"> Though it did not pass, </w:t>
      </w:r>
      <w:r w:rsidRPr="00563978">
        <w:t xml:space="preserve">Alabama </w:t>
      </w:r>
      <w:r>
        <w:t>introduced HB 408, a bill that would have expanded</w:t>
      </w:r>
      <w:r w:rsidRPr="00563978">
        <w:t xml:space="preserve"> </w:t>
      </w:r>
      <w:r>
        <w:t xml:space="preserve">its ‘chemical endangerment’ law </w:t>
      </w:r>
      <w:r w:rsidRPr="00563978">
        <w:t xml:space="preserve">to </w:t>
      </w:r>
      <w:r>
        <w:t xml:space="preserve">mandate healthcare providers to report suspicion of drug use during pregnancy to the authorities </w:t>
      </w:r>
      <w:r w:rsidRPr="00563978">
        <w:t>within two hours; even before drug test results were</w:t>
      </w:r>
      <w:r>
        <w:t xml:space="preserve"> </w:t>
      </w:r>
      <w:r w:rsidRPr="00563978">
        <w:t>completed</w:t>
      </w:r>
      <w:r>
        <w:t>.</w:t>
      </w:r>
      <w:r w:rsidRPr="00FD4561">
        <w:t xml:space="preserve"> </w:t>
      </w:r>
      <w:proofErr w:type="gramStart"/>
      <w:r w:rsidRPr="002867CB">
        <w:t>Alabama House Bill 408.</w:t>
      </w:r>
      <w:proofErr w:type="gramEnd"/>
      <w:r w:rsidRPr="002867CB">
        <w:t xml:space="preserve"> Te</w:t>
      </w:r>
      <w:r>
        <w:t xml:space="preserve">xt of Bill available at </w:t>
      </w:r>
      <w:r w:rsidRPr="002867CB">
        <w:t>legiscan.com/AL/text/HB408/id/1192216/Alabama-2015-HB408-Introduced.pdf</w:t>
      </w:r>
    </w:p>
  </w:footnote>
  <w:footnote w:id="16">
    <w:p w14:paraId="7ED47E6C" w14:textId="18583B63" w:rsidR="00876AA0" w:rsidRPr="00830159" w:rsidRDefault="00876AA0" w:rsidP="00AF12B1">
      <w:pPr>
        <w:pStyle w:val="RTFootnotetext"/>
      </w:pPr>
      <w:r w:rsidRPr="00830159">
        <w:rPr>
          <w:rStyle w:val="FootnoteReference"/>
          <w:vertAlign w:val="baseline"/>
        </w:rPr>
        <w:footnoteRef/>
      </w:r>
      <w:r w:rsidRPr="00830159">
        <w:t xml:space="preserve"> Rewire News Legislative Tracker, </w:t>
      </w:r>
      <w:hyperlink r:id="rId4" w:history="1">
        <w:r w:rsidRPr="00830159">
          <w:t>https://rewire.news/legislative-tracker/law-topic/personhood/</w:t>
        </w:r>
      </w:hyperlink>
    </w:p>
  </w:footnote>
  <w:footnote w:id="17">
    <w:p w14:paraId="18F32606" w14:textId="3DC5020D" w:rsidR="00876AA0" w:rsidRPr="004102CC" w:rsidRDefault="00876AA0" w:rsidP="006D7870">
      <w:pPr>
        <w:pStyle w:val="RTFootnotetext"/>
      </w:pPr>
      <w:r w:rsidRPr="004102CC">
        <w:footnoteRef/>
      </w:r>
      <w:r w:rsidRPr="004102CC">
        <w:t xml:space="preserve"> </w:t>
      </w:r>
      <w:proofErr w:type="spellStart"/>
      <w:r w:rsidRPr="004102CC">
        <w:t>Guttmacher</w:t>
      </w:r>
      <w:proofErr w:type="spellEnd"/>
      <w:r w:rsidRPr="004102CC">
        <w:t xml:space="preserve"> Institute, State Policy Updates, Major Developments in Sexual &amp; Reproductive Health, </w:t>
      </w:r>
      <w:hyperlink r:id="rId5" w:history="1">
        <w:r w:rsidRPr="004102CC">
          <w:rPr>
            <w:rStyle w:val="Hyperlink"/>
            <w:color w:val="000000" w:themeColor="text1"/>
            <w:u w:val="none"/>
          </w:rPr>
          <w:t>www.guttmacher.org/state-policy</w:t>
        </w:r>
      </w:hyperlink>
      <w:r w:rsidRPr="004102CC">
        <w:t xml:space="preserve"> </w:t>
      </w:r>
    </w:p>
  </w:footnote>
  <w:footnote w:id="18">
    <w:p w14:paraId="4306700C" w14:textId="102A088D" w:rsidR="00876AA0" w:rsidRPr="004102CC" w:rsidRDefault="00876AA0" w:rsidP="006D7870">
      <w:pPr>
        <w:pStyle w:val="RTFootnotetext"/>
      </w:pPr>
      <w:r w:rsidRPr="004102CC">
        <w:footnoteRef/>
      </w:r>
      <w:r w:rsidRPr="004102CC">
        <w:t xml:space="preserve"> </w:t>
      </w:r>
      <w:proofErr w:type="gramStart"/>
      <w:r w:rsidRPr="004102CC">
        <w:t>See, e.g., Proposed Initiat</w:t>
      </w:r>
      <w:r>
        <w:t>ive Measure No. 26 (Mississippi</w:t>
      </w:r>
      <w:r w:rsidRPr="004102CC">
        <w:t xml:space="preserve"> 2011).</w:t>
      </w:r>
      <w:proofErr w:type="gramEnd"/>
    </w:p>
  </w:footnote>
  <w:footnote w:id="19">
    <w:p w14:paraId="69055B37" w14:textId="3796BF52" w:rsidR="00876AA0" w:rsidRPr="004102CC" w:rsidRDefault="00876AA0" w:rsidP="006D7870">
      <w:pPr>
        <w:pStyle w:val="RTFootnotetext"/>
      </w:pPr>
      <w:r w:rsidRPr="004102CC">
        <w:footnoteRef/>
      </w:r>
      <w:r w:rsidRPr="004102CC">
        <w:t xml:space="preserve"> See Colorado ballot initiative, Amendment 67 (known as the “Brady Amendment”) (2014)</w:t>
      </w:r>
      <w:r>
        <w:t>.</w:t>
      </w:r>
    </w:p>
  </w:footnote>
  <w:footnote w:id="20">
    <w:p w14:paraId="0D894B8A" w14:textId="2EFCE3ED" w:rsidR="00876AA0" w:rsidRPr="004102CC" w:rsidRDefault="00876AA0" w:rsidP="006D7870">
      <w:pPr>
        <w:pStyle w:val="RTFootnotetext"/>
      </w:pPr>
      <w:r w:rsidRPr="004102CC">
        <w:footnoteRef/>
      </w:r>
      <w:r w:rsidRPr="004102CC">
        <w:t xml:space="preserve"> </w:t>
      </w:r>
      <w:proofErr w:type="gramStart"/>
      <w:r w:rsidRPr="004102CC">
        <w:t>C</w:t>
      </w:r>
      <w:r>
        <w:t>enter for Reproductive Rights, ‘</w:t>
      </w:r>
      <w:r w:rsidRPr="004102CC">
        <w:t>Whose Rights to Life?</w:t>
      </w:r>
      <w:proofErr w:type="gramEnd"/>
      <w:r w:rsidRPr="004102CC">
        <w:t xml:space="preserve"> </w:t>
      </w:r>
      <w:proofErr w:type="gramStart"/>
      <w:r w:rsidRPr="004102CC">
        <w:t>Women’s Rights and Prenatal Protections under Human Rights and Comparative Law</w:t>
      </w:r>
      <w:r>
        <w:t>’</w:t>
      </w:r>
      <w:r w:rsidRPr="004102CC">
        <w:t>, 2014.</w:t>
      </w:r>
      <w:proofErr w:type="gramEnd"/>
    </w:p>
  </w:footnote>
  <w:footnote w:id="21">
    <w:p w14:paraId="67239897" w14:textId="3C61324C" w:rsidR="00876AA0" w:rsidRPr="004D456B" w:rsidRDefault="00876AA0" w:rsidP="006D7870">
      <w:pPr>
        <w:pStyle w:val="RTFootnotetext"/>
        <w:rPr>
          <w:lang w:val="fr-CA"/>
        </w:rPr>
      </w:pPr>
      <w:r w:rsidRPr="004102CC">
        <w:footnoteRef/>
      </w:r>
      <w:r w:rsidRPr="004102CC">
        <w:t xml:space="preserve"> See National Conference of State Legislatures f</w:t>
      </w:r>
      <w:r>
        <w:t>or an updated summary of state ‘Fetal Homicide’</w:t>
      </w:r>
      <w:r w:rsidRPr="004102CC">
        <w:t xml:space="preserve"> Laws. </w:t>
      </w:r>
      <w:hyperlink r:id="rId6" w:history="1">
        <w:r w:rsidRPr="004D456B">
          <w:rPr>
            <w:rStyle w:val="Hyperlink"/>
            <w:color w:val="000000" w:themeColor="text1"/>
            <w:u w:val="none"/>
            <w:lang w:val="fr-CA"/>
          </w:rPr>
          <w:t>www.ncsl.org/research/health/fetal-homicide-state-laws.aspx</w:t>
        </w:r>
      </w:hyperlink>
      <w:r w:rsidRPr="004D456B">
        <w:rPr>
          <w:lang w:val="fr-CA"/>
        </w:rPr>
        <w:t xml:space="preserve"> </w:t>
      </w:r>
    </w:p>
  </w:footnote>
  <w:footnote w:id="22">
    <w:p w14:paraId="5BA1C02E" w14:textId="77777777" w:rsidR="00876AA0" w:rsidRDefault="00876AA0" w:rsidP="006D7870">
      <w:pPr>
        <w:pStyle w:val="FootnoteText"/>
      </w:pPr>
      <w:r>
        <w:footnoteRef/>
      </w:r>
      <w:r w:rsidRPr="004D456B">
        <w:rPr>
          <w:lang w:val="fr-CA"/>
        </w:rPr>
        <w:t xml:space="preserve"> Rhonda </w:t>
      </w:r>
      <w:proofErr w:type="spellStart"/>
      <w:r w:rsidRPr="004D456B">
        <w:rPr>
          <w:lang w:val="fr-CA"/>
        </w:rPr>
        <w:t>Copelon</w:t>
      </w:r>
      <w:proofErr w:type="spellEnd"/>
      <w:r w:rsidRPr="004D456B">
        <w:rPr>
          <w:lang w:val="fr-CA"/>
        </w:rPr>
        <w:t xml:space="preserve"> et. </w:t>
      </w:r>
      <w:proofErr w:type="gramStart"/>
      <w:r w:rsidRPr="004D456B">
        <w:rPr>
          <w:lang w:val="fr-CA"/>
        </w:rPr>
        <w:t>al</w:t>
      </w:r>
      <w:proofErr w:type="gramEnd"/>
      <w:r w:rsidRPr="004D456B">
        <w:rPr>
          <w:lang w:val="fr-CA"/>
        </w:rPr>
        <w:t xml:space="preserve">. </w:t>
      </w:r>
      <w:r w:rsidRPr="0047093B">
        <w:t>‘Human Rights Begin at Birth: International Law and the Claim of Fetal Rights’, in Reproductive Health Matters Vol. 13, No. 26, November 2005, pp. 120-129</w:t>
      </w:r>
      <w:r>
        <w:t>.</w:t>
      </w:r>
      <w:r w:rsidRPr="0047093B">
        <w:t xml:space="preserve"> An argument to the contrary is erroneously built upon Paragraph 9 of the UN Convention on the Rights of the Child Preamble, which provides: “Bearing in mind that, as indicated in the Declaration of the Rights of the Child, ‘the child, by reason of his physical and mental immaturity, needs special safeguards and care, including appropriate legal protection, before as well as after birth.’ The </w:t>
      </w:r>
      <w:proofErr w:type="gramStart"/>
      <w:r w:rsidRPr="0047093B">
        <w:t>history of negotiations by states on the treaty clarify</w:t>
      </w:r>
      <w:proofErr w:type="gramEnd"/>
      <w:r w:rsidRPr="0047093B">
        <w:t xml:space="preserve"> that these safeguards “before birth,” must not affect a woman's choice to terminate an unwanted pregnancy. As originally drafted, the Preamble did not contain the reference to protection “before as well as after birth,” although this language had been used in the earlier Declaration on the Rights of the Child. The Holy See led a proposal to add this phrase, at the same time as it “stated that the purpose of the amendment was not to preclude the possibility of an abortion” (UN Commission on Human Rights, Question of a Convention on the Rights of a Child: Report of the Working Group, 36th Session, UN Doc. E/CN.4/L/1542 (1980)). Although the words “before or after birth” were accepted, their limited purpose was reinforced by the statement that “the Working Group does not intend to prejudice the interpretation of Article 1 or any other provision of the Convention by States Parties.” UN Commission on Human Rights, Report of the Working Group on a Draft Convention on the Rights of the Child, 45th Session, UN Doc. E/CN.4/1989/48 (1989), p. 10.</w:t>
      </w:r>
      <w:r>
        <w:t xml:space="preserve"> Also see: Amnesty International, </w:t>
      </w:r>
      <w:r>
        <w:rPr>
          <w:i/>
          <w:iCs/>
        </w:rPr>
        <w:t xml:space="preserve">She is not a criminal: the impact of Ireland's restrictive abortion laws </w:t>
      </w:r>
      <w:r>
        <w:t xml:space="preserve">(Index: EUR 29/1597/2015).  </w:t>
      </w:r>
    </w:p>
  </w:footnote>
  <w:footnote w:id="23">
    <w:p w14:paraId="6756910E" w14:textId="77777777" w:rsidR="00876AA0" w:rsidRPr="006F45AE" w:rsidRDefault="00876AA0" w:rsidP="006D7870">
      <w:pPr>
        <w:pStyle w:val="FootnoteText"/>
      </w:pPr>
      <w:r w:rsidRPr="006F45AE">
        <w:rPr>
          <w:szCs w:val="14"/>
        </w:rPr>
        <w:footnoteRef/>
      </w:r>
      <w:r w:rsidRPr="006F45AE">
        <w:t xml:space="preserve"> See, for example, Committee on Economic, Social and Cultural Rights, General Comment 14, The right to the highest attainable standard of health, </w:t>
      </w:r>
      <w:r>
        <w:t xml:space="preserve">11 August 2000 UN Doc. </w:t>
      </w:r>
      <w:r w:rsidRPr="006F45AE">
        <w:t>E/C.12/2000/4, para. 14.14.</w:t>
      </w:r>
      <w:r>
        <w:t xml:space="preserve"> (CESCR General Comment 14)</w:t>
      </w:r>
    </w:p>
  </w:footnote>
  <w:footnote w:id="24">
    <w:p w14:paraId="59736DFE" w14:textId="21881AC5" w:rsidR="00876AA0" w:rsidRPr="004102CC" w:rsidRDefault="00876AA0" w:rsidP="004102CC">
      <w:pPr>
        <w:pStyle w:val="RTFootnotetext"/>
      </w:pPr>
      <w:r w:rsidRPr="004102CC">
        <w:footnoteRef/>
      </w:r>
      <w:r w:rsidRPr="004102CC">
        <w:t xml:space="preserve"> National Conference of State Legislatures, </w:t>
      </w:r>
      <w:hyperlink r:id="rId7" w:history="1">
        <w:r w:rsidRPr="004102CC">
          <w:rPr>
            <w:rStyle w:val="Hyperlink"/>
            <w:color w:val="000000" w:themeColor="text1"/>
            <w:u w:val="none"/>
          </w:rPr>
          <w:t>www.ncsl.org/research/health/fetal-homicide-state-laws.aspx</w:t>
        </w:r>
      </w:hyperlink>
    </w:p>
  </w:footnote>
  <w:footnote w:id="25">
    <w:p w14:paraId="3C4F831D" w14:textId="1ED2C7A9" w:rsidR="00876AA0" w:rsidRPr="004102CC" w:rsidRDefault="00876AA0" w:rsidP="004102CC">
      <w:pPr>
        <w:pStyle w:val="RTFootnotetext"/>
      </w:pPr>
      <w:r w:rsidRPr="004102CC">
        <w:footnoteRef/>
      </w:r>
      <w:r w:rsidRPr="004102CC">
        <w:t xml:space="preserve"> M. Goodwin, </w:t>
      </w:r>
      <w:r>
        <w:t>‘</w:t>
      </w:r>
      <w:r w:rsidRPr="004102CC">
        <w:t>Fetal Protection Laws: Moral Panic and the New Constitutional Battlefront</w:t>
      </w:r>
      <w:r>
        <w:t>’</w:t>
      </w:r>
      <w:r w:rsidRPr="004102CC">
        <w:t>, California Law Review, Vol</w:t>
      </w:r>
      <w:r>
        <w:t>.</w:t>
      </w:r>
      <w:r w:rsidRPr="004102CC">
        <w:t xml:space="preserve"> 102: Number 4, 2014.</w:t>
      </w:r>
    </w:p>
  </w:footnote>
  <w:footnote w:id="26">
    <w:p w14:paraId="5165C135" w14:textId="7E67FF71" w:rsidR="00876AA0" w:rsidRPr="004102CC" w:rsidRDefault="00876AA0" w:rsidP="004102CC">
      <w:pPr>
        <w:pStyle w:val="RTFootnotetext"/>
      </w:pPr>
      <w:r w:rsidRPr="004102CC">
        <w:footnoteRef/>
      </w:r>
      <w:r w:rsidRPr="004102CC">
        <w:t xml:space="preserve"> Tennessee Code Annotated 39-13-107. Fetus as victim</w:t>
      </w:r>
      <w:r>
        <w:t>,</w:t>
      </w:r>
      <w:r w:rsidRPr="004102CC">
        <w:t xml:space="preserve"> </w:t>
      </w:r>
      <w:hyperlink r:id="rId8" w:history="1">
        <w:r w:rsidRPr="004102CC">
          <w:rPr>
            <w:rStyle w:val="Hyperlink"/>
            <w:color w:val="000000" w:themeColor="text1"/>
            <w:u w:val="none"/>
          </w:rPr>
          <w:t>https://apps.tn.gov/carat/pdf/tnchild-39-13-107.pdf</w:t>
        </w:r>
      </w:hyperlink>
      <w:r w:rsidRPr="004102CC">
        <w:t xml:space="preserve"> </w:t>
      </w:r>
    </w:p>
  </w:footnote>
  <w:footnote w:id="27">
    <w:p w14:paraId="47B1E7A5" w14:textId="0D8628D7" w:rsidR="00876AA0" w:rsidRPr="004102CC" w:rsidRDefault="00876AA0" w:rsidP="004102CC">
      <w:pPr>
        <w:pStyle w:val="RTFootnotetext"/>
      </w:pPr>
      <w:r w:rsidRPr="004102CC">
        <w:footnoteRef/>
      </w:r>
      <w:r w:rsidRPr="004102CC">
        <w:t xml:space="preserve"> For a large selection of cases see L. Paltrow &amp; J. Flavin, </w:t>
      </w:r>
      <w:r>
        <w:t>‘</w:t>
      </w:r>
      <w:r w:rsidRPr="004102CC">
        <w:t>Arrests of and forced interventions on pregnant women in the United States (1973-2005): The implications for women's legal status and public health</w:t>
      </w:r>
      <w:r>
        <w:t>’</w:t>
      </w:r>
      <w:r w:rsidRPr="004102CC">
        <w:t>, Journal of Health Politics, Policy and Law, 2013; M. Goodwin, Precarious Moorings: Tying Fetal Drug Law Policy to Social Profiling, Rutgers Law Journal, 42: 659; A. Cherry, “The Detention, Confinement, and Incarceration of Pregnant Women for the Benefit of Fetal Health”, Columbia Journal of Gender &amp; Law, 147, 2007. For more discussion on suicide also see A. Murphy “A Survey of State Fetal Homicide Laws and Their Potential Applicability to Pregnant Women Who Harm Their Own Fetuses,” Indiana Law Journal, 89:2, 2014.</w:t>
      </w:r>
    </w:p>
  </w:footnote>
  <w:footnote w:id="28">
    <w:p w14:paraId="0F10732B" w14:textId="77777777" w:rsidR="00876AA0" w:rsidRPr="004102CC" w:rsidRDefault="00876AA0" w:rsidP="004102CC">
      <w:pPr>
        <w:pStyle w:val="RTFootnotetext"/>
      </w:pPr>
      <w:r w:rsidRPr="004102CC">
        <w:footnoteRef/>
      </w:r>
      <w:r w:rsidRPr="004102CC">
        <w:t xml:space="preserve"> See S Lamb ‘</w:t>
      </w:r>
      <w:proofErr w:type="spellStart"/>
      <w:r w:rsidRPr="004102CC">
        <w:t>Nullum</w:t>
      </w:r>
      <w:proofErr w:type="spellEnd"/>
      <w:r w:rsidRPr="004102CC">
        <w:t xml:space="preserve"> </w:t>
      </w:r>
      <w:proofErr w:type="spellStart"/>
      <w:r w:rsidRPr="004102CC">
        <w:t>Crimen</w:t>
      </w:r>
      <w:proofErr w:type="spellEnd"/>
      <w:r w:rsidRPr="004102CC">
        <w:t xml:space="preserve">, </w:t>
      </w:r>
      <w:proofErr w:type="spellStart"/>
      <w:r w:rsidRPr="004102CC">
        <w:t>Nulla</w:t>
      </w:r>
      <w:proofErr w:type="spellEnd"/>
      <w:r w:rsidRPr="004102CC">
        <w:t xml:space="preserve"> </w:t>
      </w:r>
      <w:proofErr w:type="spellStart"/>
      <w:r w:rsidRPr="004102CC">
        <w:t>Poena</w:t>
      </w:r>
      <w:proofErr w:type="spellEnd"/>
      <w:r w:rsidRPr="004102CC">
        <w:t xml:space="preserve"> Sine </w:t>
      </w:r>
      <w:proofErr w:type="spellStart"/>
      <w:r w:rsidRPr="004102CC">
        <w:t>Lege</w:t>
      </w:r>
      <w:proofErr w:type="spellEnd"/>
      <w:r w:rsidRPr="004102CC">
        <w:t xml:space="preserve"> in International Criminal Law’ in A Cassese &amp; P Gaeta, et al. (eds.) The Rome Statute of the International Criminal Court (2002) 19; Rome Statute of the International Criminal Court, opened for signature 17 July 1998, 2187 U.N.T.S. 90 (entered into force 1 July 2002) Art 22(1); Universal Declaration of Human Rights, adopted 10 December 1948, G.A. Res. 217A (III), UN Doc A/810, Art 11; European Convention for the Protection of Human Rights and Fundamental Freedoms, signed 4 November 1950, 213 U.N.T.S. 222 (entered into force 3 September 1953) Art 7; American Convention on Human Rights, 22 November 1969, O.A.S.T.S. No. 6, O.A.S. Off. Rec. OEA/</w:t>
      </w:r>
      <w:proofErr w:type="spellStart"/>
      <w:r w:rsidRPr="004102CC">
        <w:t>Serv.L</w:t>
      </w:r>
      <w:proofErr w:type="spellEnd"/>
      <w:r w:rsidRPr="004102CC">
        <w:t>/V/II.23, doc. 21, rev. 6 (entered into force July 18 1978) Art 9; African Charter on Human and Peoples’ Rights, adopted 27 June 1981, O.A.U. Doc CAB/LEG/67/3, rev.5, 21 I.L.M 58 (1982) (entered into force 21 October 1986) Art 7; League of Arab States, Arab Charter on Human Rights, May 22, 2004, reprinted in 12 International Human Rights Rep. 893 (2005) (entered into force March 15, 2008) Art 15.</w:t>
      </w:r>
    </w:p>
  </w:footnote>
  <w:footnote w:id="29">
    <w:p w14:paraId="051F0461" w14:textId="76BF7C4C" w:rsidR="00876AA0" w:rsidRPr="004102CC" w:rsidRDefault="00876AA0" w:rsidP="004102CC">
      <w:pPr>
        <w:pStyle w:val="RTFootnotetext"/>
      </w:pPr>
      <w:r w:rsidRPr="004102CC">
        <w:footnoteRef/>
      </w:r>
      <w:r w:rsidRPr="004102CC">
        <w:t xml:space="preserve"> ACLU, </w:t>
      </w:r>
      <w:proofErr w:type="gramStart"/>
      <w:r w:rsidRPr="004102CC">
        <w:t>What’s</w:t>
      </w:r>
      <w:proofErr w:type="gramEnd"/>
      <w:r w:rsidRPr="004102CC">
        <w:t xml:space="preserve"> Wrong with Fetal Rights? </w:t>
      </w:r>
      <w:hyperlink r:id="rId9" w:history="1">
        <w:r w:rsidRPr="004102CC">
          <w:rPr>
            <w:rStyle w:val="Hyperlink"/>
            <w:color w:val="000000" w:themeColor="text1"/>
            <w:u w:val="none"/>
          </w:rPr>
          <w:t>www.aclu.org/whats-wrong-fetal-rights</w:t>
        </w:r>
      </w:hyperlink>
      <w:r w:rsidRPr="004102CC">
        <w:t xml:space="preserve"> </w:t>
      </w:r>
    </w:p>
  </w:footnote>
  <w:footnote w:id="30">
    <w:p w14:paraId="11F7A2DB" w14:textId="2E25ECC3" w:rsidR="00876AA0" w:rsidRPr="002867CB" w:rsidRDefault="00876AA0" w:rsidP="004102CC">
      <w:pPr>
        <w:pStyle w:val="RTFootnotetext"/>
      </w:pPr>
      <w:r w:rsidRPr="004102CC">
        <w:footnoteRef/>
      </w:r>
      <w:r w:rsidRPr="004102CC">
        <w:t xml:space="preserve"> Amnesty International filed an amicus brief in support of a woman in Indiana who was prosecuted for seeking to terminate her own pregnancy under Indiana Code 35-41-1-6 Feticide; See Amicus Brief in Support of Appellant </w:t>
      </w:r>
      <w:proofErr w:type="spellStart"/>
      <w:r w:rsidRPr="004102CC">
        <w:t>Purvi</w:t>
      </w:r>
      <w:proofErr w:type="spellEnd"/>
      <w:r w:rsidRPr="004102CC">
        <w:t xml:space="preserve"> Patel by International Women’s Human Rights Clinic, Amnesty International, and the Center for Reproductive Rights, </w:t>
      </w:r>
      <w:hyperlink r:id="rId10" w:history="1">
        <w:r w:rsidRPr="004102CC">
          <w:rPr>
            <w:rStyle w:val="Hyperlink"/>
            <w:color w:val="000000" w:themeColor="text1"/>
            <w:u w:val="none"/>
          </w:rPr>
          <w:t>http://advocatesforpregnantwomen.org/Patel%20-%20Intl%20Womens%20HR%20Clinic%20Amicus%20Brief.pdf</w:t>
        </w:r>
      </w:hyperlink>
      <w:r w:rsidRPr="004102CC">
        <w:t xml:space="preserve"> ; In Tennessee, Anna </w:t>
      </w:r>
      <w:proofErr w:type="spellStart"/>
      <w:r w:rsidRPr="004102CC">
        <w:t>Yocca</w:t>
      </w:r>
      <w:proofErr w:type="spellEnd"/>
      <w:r w:rsidRPr="004102CC">
        <w:t xml:space="preserve"> was charged with attempted murder after trying to end her own pregnancy, L. Stack, “Woman Accused of Coat-Hanger Abortion Pleads Guilty to Felony”, 11 January 2017</w:t>
      </w:r>
      <w:r>
        <w:t xml:space="preserve">, </w:t>
      </w:r>
      <w:hyperlink r:id="rId11" w:history="1">
        <w:r w:rsidRPr="004102CC">
          <w:rPr>
            <w:rStyle w:val="Hyperlink"/>
            <w:color w:val="000000" w:themeColor="text1"/>
            <w:u w:val="none"/>
          </w:rPr>
          <w:t>www.nytimes.com/2017/01/11/us/tennessee-abortion-crime.html</w:t>
        </w:r>
      </w:hyperlink>
      <w:r w:rsidRPr="004102CC">
        <w:t xml:space="preserve">, and in Pennsylvania, Jennifer Whalen obtained medication for her daughter </w:t>
      </w:r>
      <w:hyperlink r:id="rId12" w:history="1">
        <w:r w:rsidRPr="004102CC">
          <w:rPr>
            <w:rStyle w:val="Hyperlink"/>
            <w:color w:val="000000" w:themeColor="text1"/>
            <w:u w:val="none"/>
          </w:rPr>
          <w:t>www.nytimes.com/2014/09/22/magazine/a-mother-in-jail-for-helping-her-daughter-have-an-abortion.html</w:t>
        </w:r>
      </w:hyperlink>
      <w:r w:rsidRPr="004102CC">
        <w:t xml:space="preserve"> </w:t>
      </w:r>
    </w:p>
  </w:footnote>
  <w:footnote w:id="31">
    <w:p w14:paraId="642F6613" w14:textId="29DD7349" w:rsidR="00876AA0" w:rsidRPr="004102CC" w:rsidRDefault="00876AA0" w:rsidP="004102CC">
      <w:pPr>
        <w:pStyle w:val="RTFootnotetext"/>
      </w:pPr>
      <w:r w:rsidRPr="004102CC">
        <w:footnoteRef/>
      </w:r>
      <w:r w:rsidRPr="004102CC">
        <w:t xml:space="preserve"> </w:t>
      </w:r>
      <w:proofErr w:type="gramStart"/>
      <w:r w:rsidRPr="004102CC">
        <w:t>Court of Appeals of Indiana | Opinion 71A04-1504-CR-166 | July 22, 2016, p. 4</w:t>
      </w:r>
      <w:r w:rsidR="001D35EE">
        <w:t>.</w:t>
      </w:r>
      <w:proofErr w:type="gramEnd"/>
    </w:p>
  </w:footnote>
  <w:footnote w:id="32">
    <w:p w14:paraId="096BE1CA" w14:textId="77777777" w:rsidR="00876AA0" w:rsidRPr="004102CC" w:rsidRDefault="00876AA0" w:rsidP="004102CC">
      <w:pPr>
        <w:pStyle w:val="RTFootnotetext"/>
      </w:pPr>
      <w:r w:rsidRPr="004102CC">
        <w:footnoteRef/>
      </w:r>
      <w:r w:rsidRPr="004102CC">
        <w:t xml:space="preserve"> Court of Appeals of Indiana | Opinion 71A04-1504-CR-166 | July 22, 2016.</w:t>
      </w:r>
    </w:p>
  </w:footnote>
  <w:footnote w:id="33">
    <w:p w14:paraId="418528C2" w14:textId="7EEF8976" w:rsidR="00876AA0" w:rsidRPr="00EE1623" w:rsidRDefault="00876AA0" w:rsidP="00EE1623">
      <w:pPr>
        <w:pStyle w:val="RTFootnotetext"/>
      </w:pPr>
      <w:r w:rsidRPr="00EE1623">
        <w:footnoteRef/>
      </w:r>
      <w:r w:rsidRPr="00EE1623">
        <w:t xml:space="preserve"> </w:t>
      </w:r>
      <w:proofErr w:type="spellStart"/>
      <w:proofErr w:type="gramStart"/>
      <w:r w:rsidRPr="00EE1623">
        <w:t>Whitner</w:t>
      </w:r>
      <w:proofErr w:type="spellEnd"/>
      <w:r w:rsidRPr="00EE1623">
        <w:t xml:space="preserve"> v State, 328 S.C. 1, 492 S.E.2d 777 (1997).</w:t>
      </w:r>
      <w:proofErr w:type="gramEnd"/>
    </w:p>
  </w:footnote>
  <w:footnote w:id="34">
    <w:p w14:paraId="2C797F1B" w14:textId="77777777" w:rsidR="00876AA0" w:rsidRPr="00EE1623" w:rsidRDefault="00876AA0" w:rsidP="00EE1623">
      <w:pPr>
        <w:pStyle w:val="RTFootnotetext"/>
      </w:pPr>
      <w:r w:rsidRPr="00EE1623">
        <w:footnoteRef/>
      </w:r>
      <w:r w:rsidRPr="00EE1623">
        <w:t xml:space="preserve"> The arrests spanned 26 counties, and involved a variety of charges, including Unlawful Conduct toward a Minor, Unlawful Neglect of a Minor, Homicide by Child Abuse, Inflicting Great Bodily Injury to a Child, Child Abuse, </w:t>
      </w:r>
      <w:proofErr w:type="gramStart"/>
      <w:r w:rsidRPr="00EE1623">
        <w:t>Cruelty</w:t>
      </w:r>
      <w:proofErr w:type="gramEnd"/>
      <w:r w:rsidRPr="00EE1623">
        <w:t xml:space="preserve"> to Children, Involuntary Manslaughter, and Unlawful Exposure of a Child to Methamphetamine. The vast majority of these arrests (93) were made under charges of unlawful conduct or unlawful neglect. All but one case involved allegations of substance use during pregnancy, generally determined by the presence of a single positive drug test. Of the 108 cases, 61 resulted in a guilty plea, 11 were disposed, and one defendant was convicted. 24 cases have not yet been resolved. Sentences in ranged dramatically, from the completion of drug court, to several years of probation, to 20 years in prison. Grace Howard, Conference Presentation at Mid-Atlantic Law and Society Association, Oct 10, 2015, John Jay College of Criminal Justice, New York, NY, and Interview with Amnesty International, October 2015, Nashville, Tennessee.</w:t>
      </w:r>
    </w:p>
  </w:footnote>
  <w:footnote w:id="35">
    <w:p w14:paraId="4C0E0679" w14:textId="77777777" w:rsidR="00876AA0" w:rsidRPr="00EE1623" w:rsidRDefault="00876AA0" w:rsidP="00EE1623">
      <w:pPr>
        <w:pStyle w:val="RTFootnotetext"/>
      </w:pPr>
      <w:r w:rsidRPr="00EE1623">
        <w:footnoteRef/>
      </w:r>
      <w:r w:rsidRPr="00EE1623">
        <w:t xml:space="preserve"> Susan Dunn, ACLU of South Carolina, Interview, 2 October 2015.</w:t>
      </w:r>
    </w:p>
  </w:footnote>
  <w:footnote w:id="36">
    <w:p w14:paraId="511B3DBA" w14:textId="7FF8C71C" w:rsidR="00876AA0" w:rsidRPr="002E4582" w:rsidRDefault="00876AA0" w:rsidP="002E4582">
      <w:pPr>
        <w:pStyle w:val="RTFootnotetext"/>
      </w:pPr>
      <w:r w:rsidRPr="002E4582">
        <w:footnoteRef/>
      </w:r>
      <w:r w:rsidRPr="002E4582">
        <w:t xml:space="preserve"> U.S. Department of Health and Human Services, “Parental Drug Use as Child Abuse,” State Statutes, available at: </w:t>
      </w:r>
      <w:hyperlink r:id="rId13" w:history="1">
        <w:r w:rsidRPr="002E4582">
          <w:rPr>
            <w:rStyle w:val="Hyperlink"/>
            <w:color w:val="000000" w:themeColor="text1"/>
            <w:u w:val="none"/>
          </w:rPr>
          <w:t>www.childwelfare.gov/pubPDFs/drugexposed.pdf</w:t>
        </w:r>
      </w:hyperlink>
      <w:r w:rsidRPr="002E4582">
        <w:t xml:space="preserve"> </w:t>
      </w:r>
    </w:p>
  </w:footnote>
  <w:footnote w:id="37">
    <w:p w14:paraId="1D1BE662" w14:textId="05FB67F3" w:rsidR="00876AA0" w:rsidRPr="002E4582" w:rsidRDefault="00876AA0" w:rsidP="002E4582">
      <w:pPr>
        <w:pStyle w:val="RTFootnotetext"/>
      </w:pPr>
      <w:r w:rsidRPr="002E4582">
        <w:footnoteRef/>
      </w:r>
      <w:r w:rsidRPr="002E4582">
        <w:t xml:space="preserve"> Wisconsin Department of Children and Families, Child Abuse and Neglect Annual Reports, </w:t>
      </w:r>
      <w:hyperlink r:id="rId14" w:history="1">
        <w:r w:rsidRPr="002E4582">
          <w:rPr>
            <w:rStyle w:val="Hyperlink"/>
            <w:color w:val="000000" w:themeColor="text1"/>
            <w:u w:val="none"/>
          </w:rPr>
          <w:t>https://dcf.wisconsin.gov/</w:t>
        </w:r>
      </w:hyperlink>
      <w:r w:rsidRPr="002E4582">
        <w:t xml:space="preserve"> </w:t>
      </w:r>
    </w:p>
  </w:footnote>
  <w:footnote w:id="38">
    <w:p w14:paraId="35051C84" w14:textId="4E87A468" w:rsidR="00876AA0" w:rsidRPr="002E4582" w:rsidRDefault="00876AA0" w:rsidP="00D04949">
      <w:pPr>
        <w:pStyle w:val="RTFootnotetext"/>
      </w:pPr>
      <w:r w:rsidRPr="002E4582">
        <w:footnoteRef/>
      </w:r>
      <w:r w:rsidRPr="002E4582">
        <w:t xml:space="preserve"> Child Abuse Prevention and Treatment Act as Amended by P.L. 111-320, the CAPTA Rea</w:t>
      </w:r>
      <w:r>
        <w:t>uthorization Act of 2010 p.19; a</w:t>
      </w:r>
      <w:r w:rsidRPr="002E4582">
        <w:t>lso see U.S. Department of Health and Human Services, Substance Abuse and Mental Health Ser</w:t>
      </w:r>
      <w:r>
        <w:t>vices Administration (SAMHSA), ‘</w:t>
      </w:r>
      <w:r w:rsidRPr="002E4582">
        <w:t>Substance-Exposed Infants:</w:t>
      </w:r>
      <w:r>
        <w:t xml:space="preserve"> State Responses to the Problem’</w:t>
      </w:r>
      <w:r w:rsidRPr="002E4582">
        <w:t>, p.</w:t>
      </w:r>
      <w:r>
        <w:t xml:space="preserve"> </w:t>
      </w:r>
      <w:r w:rsidRPr="002E4582">
        <w:t>8 (SAMHSA Substance-Exposed Infants)</w:t>
      </w:r>
      <w:r>
        <w:t>,</w:t>
      </w:r>
      <w:r w:rsidRPr="002E4582">
        <w:t xml:space="preserve"> </w:t>
      </w:r>
      <w:hyperlink r:id="rId15" w:history="1">
        <w:r w:rsidRPr="002E4582">
          <w:rPr>
            <w:rStyle w:val="Hyperlink"/>
            <w:color w:val="000000" w:themeColor="text1"/>
            <w:u w:val="none"/>
          </w:rPr>
          <w:t>www.ncsacw.samhsa.gov/files/Substance-Exposed-Infants.pdf</w:t>
        </w:r>
      </w:hyperlink>
      <w:r w:rsidRPr="002E4582">
        <w:t xml:space="preserve"> </w:t>
      </w:r>
    </w:p>
  </w:footnote>
  <w:footnote w:id="39">
    <w:p w14:paraId="2023BBBD" w14:textId="6BD27063" w:rsidR="00876AA0" w:rsidRPr="002E4582" w:rsidRDefault="00876AA0" w:rsidP="00D04949">
      <w:pPr>
        <w:pStyle w:val="RTFootnotetext"/>
      </w:pPr>
      <w:r w:rsidRPr="002E4582">
        <w:footnoteRef/>
      </w:r>
      <w:r w:rsidRPr="002E4582">
        <w:t xml:space="preserve"> SAMHSA Substance Exposed Infants, al</w:t>
      </w:r>
      <w:r>
        <w:t>so see U.S. Children’s Bureau, ‘</w:t>
      </w:r>
      <w:r w:rsidRPr="002E4582">
        <w:t>Par</w:t>
      </w:r>
      <w:r>
        <w:t>ental Drug Abuse as Child Abuse’,</w:t>
      </w:r>
      <w:r w:rsidRPr="002E4582">
        <w:t xml:space="preserve"> Child Welfare Information Gateway, </w:t>
      </w:r>
      <w:hyperlink r:id="rId16" w:history="1">
        <w:r w:rsidRPr="002E4582">
          <w:rPr>
            <w:rStyle w:val="Hyperlink"/>
            <w:color w:val="000000" w:themeColor="text1"/>
            <w:u w:val="none"/>
          </w:rPr>
          <w:t>www.childwelfare.gov/pubPDFs/drugexposed.pdf</w:t>
        </w:r>
      </w:hyperlink>
      <w:r w:rsidRPr="002E4582">
        <w:t xml:space="preserve"> </w:t>
      </w:r>
    </w:p>
  </w:footnote>
  <w:footnote w:id="40">
    <w:p w14:paraId="15E5F597" w14:textId="032E7E61" w:rsidR="00876AA0" w:rsidRPr="002E4582" w:rsidRDefault="00876AA0" w:rsidP="00D04949">
      <w:pPr>
        <w:pStyle w:val="RTFootnotetext"/>
      </w:pPr>
      <w:r w:rsidRPr="002E4582">
        <w:footnoteRef/>
      </w:r>
      <w:r>
        <w:t xml:space="preserve"> </w:t>
      </w:r>
      <w:proofErr w:type="spellStart"/>
      <w:r>
        <w:t>Guttmacher</w:t>
      </w:r>
      <w:proofErr w:type="spellEnd"/>
      <w:r>
        <w:t xml:space="preserve"> Institute, ‘</w:t>
      </w:r>
      <w:r w:rsidRPr="002E4582">
        <w:t>State Policies in Brief: S</w:t>
      </w:r>
      <w:r>
        <w:t>ubstance Abuse During Pregnancy’,</w:t>
      </w:r>
      <w:r w:rsidRPr="002E4582">
        <w:t xml:space="preserve"> </w:t>
      </w:r>
      <w:hyperlink r:id="rId17" w:history="1">
        <w:r w:rsidRPr="002E4582">
          <w:rPr>
            <w:rStyle w:val="Hyperlink"/>
            <w:color w:val="000000" w:themeColor="text1"/>
            <w:u w:val="none"/>
          </w:rPr>
          <w:t>www.guttmacher.org/statecenter/spibs/spib_SADP.pdf</w:t>
        </w:r>
      </w:hyperlink>
      <w:r>
        <w:t xml:space="preserve">, </w:t>
      </w:r>
      <w:r w:rsidRPr="002E4582">
        <w:t>(</w:t>
      </w:r>
      <w:proofErr w:type="spellStart"/>
      <w:r w:rsidRPr="002E4582">
        <w:t>Guttmacher</w:t>
      </w:r>
      <w:proofErr w:type="spellEnd"/>
      <w:r w:rsidRPr="002E4582">
        <w:t xml:space="preserve"> Substance Abuse During Pregnancy)</w:t>
      </w:r>
    </w:p>
  </w:footnote>
  <w:footnote w:id="41">
    <w:p w14:paraId="320B509D" w14:textId="77777777" w:rsidR="00876AA0" w:rsidRPr="002E4582" w:rsidRDefault="00876AA0" w:rsidP="00D04949">
      <w:pPr>
        <w:pStyle w:val="RTFootnotetext"/>
      </w:pPr>
      <w:r w:rsidRPr="002E4582">
        <w:footnoteRef/>
      </w:r>
      <w:r w:rsidRPr="002E4582">
        <w:t xml:space="preserve"> Interview, with Alabama DHR worker, anonymous, March 2015.</w:t>
      </w:r>
    </w:p>
  </w:footnote>
  <w:footnote w:id="42">
    <w:p w14:paraId="772057B2" w14:textId="77777777" w:rsidR="00876AA0" w:rsidRPr="002E4582" w:rsidRDefault="00876AA0" w:rsidP="00D04949">
      <w:pPr>
        <w:pStyle w:val="RTFootnotetext"/>
      </w:pPr>
      <w:r w:rsidRPr="002E4582">
        <w:footnoteRef/>
      </w:r>
      <w:r w:rsidRPr="002E4582">
        <w:t xml:space="preserve"> Interview, Susan Dunn, ACLU of South Carolina, 2 October 2015.</w:t>
      </w:r>
    </w:p>
  </w:footnote>
  <w:footnote w:id="43">
    <w:p w14:paraId="2ED13E80" w14:textId="29B2FED2" w:rsidR="00876AA0" w:rsidRPr="002E4582" w:rsidRDefault="00876AA0" w:rsidP="00D04949">
      <w:pPr>
        <w:pStyle w:val="RTFootnotetext"/>
      </w:pPr>
      <w:r w:rsidRPr="002E4582">
        <w:footnoteRef/>
      </w:r>
      <w:r>
        <w:t xml:space="preserve"> K. M. Bridges, ‘</w:t>
      </w:r>
      <w:r w:rsidRPr="002E4582">
        <w:t>Pregnancy, Medicaid, State Regulation, and the Production of Unruly Bo</w:t>
      </w:r>
      <w:r>
        <w:t>dies’,</w:t>
      </w:r>
      <w:r w:rsidRPr="002E4582">
        <w:t xml:space="preserve"> Northwestern Journal of Law &amp; Social Policy, Vol. 3,</w:t>
      </w:r>
      <w:r>
        <w:t xml:space="preserve"> Issue 1, Winter 2008; BBC ‘</w:t>
      </w:r>
      <w:r w:rsidRPr="002E4582">
        <w:t>Nine Months in the Bronx</w:t>
      </w:r>
      <w:r>
        <w:t xml:space="preserve"> </w:t>
      </w:r>
      <w:r w:rsidRPr="002E4582">
        <w:t>- a pregnant woman’s fight to keep her baby</w:t>
      </w:r>
      <w:r>
        <w:t xml:space="preserve">’, </w:t>
      </w:r>
      <w:r w:rsidRPr="002E4582">
        <w:t>16 June 2016</w:t>
      </w:r>
      <w:r>
        <w:t>,</w:t>
      </w:r>
      <w:r w:rsidRPr="002E4582">
        <w:t xml:space="preserve"> </w:t>
      </w:r>
      <w:hyperlink r:id="rId18" w:history="1">
        <w:r w:rsidRPr="002E4582">
          <w:rPr>
            <w:rStyle w:val="Hyperlink"/>
            <w:color w:val="000000" w:themeColor="text1"/>
            <w:u w:val="none"/>
          </w:rPr>
          <w:t>www.bbc.com/news/world-us-canada-36543406</w:t>
        </w:r>
      </w:hyperlink>
      <w:r w:rsidRPr="002E4582">
        <w:t xml:space="preserve"> </w:t>
      </w:r>
    </w:p>
  </w:footnote>
  <w:footnote w:id="44">
    <w:p w14:paraId="29D9456D" w14:textId="3174ACDA" w:rsidR="00876AA0" w:rsidRPr="002E4582" w:rsidRDefault="00876AA0" w:rsidP="00D04949">
      <w:pPr>
        <w:pStyle w:val="RTFootnotetext"/>
      </w:pPr>
      <w:r w:rsidRPr="002E4582">
        <w:footnoteRef/>
      </w:r>
      <w:r w:rsidRPr="002E4582">
        <w:t xml:space="preserve"> </w:t>
      </w:r>
      <w:proofErr w:type="spellStart"/>
      <w:proofErr w:type="gramStart"/>
      <w:r w:rsidRPr="002E4582">
        <w:t>Guttmacher</w:t>
      </w:r>
      <w:proofErr w:type="spellEnd"/>
      <w:r w:rsidRPr="002E4582">
        <w:t xml:space="preserve"> Substance Abuse During Pregnancy.</w:t>
      </w:r>
      <w:proofErr w:type="gramEnd"/>
      <w:r w:rsidRPr="002E4582">
        <w:t xml:space="preserve"> 15 states require </w:t>
      </w:r>
      <w:r>
        <w:t>healthcare</w:t>
      </w:r>
      <w:r w:rsidRPr="002E4582">
        <w:t xml:space="preserve"> workers to report to authorities if they suspect a woman is abusing drugs during pregnancy. </w:t>
      </w:r>
    </w:p>
  </w:footnote>
  <w:footnote w:id="45">
    <w:p w14:paraId="0F493653" w14:textId="1CECF417" w:rsidR="00876AA0" w:rsidRPr="002E4582" w:rsidRDefault="00876AA0" w:rsidP="00D04949">
      <w:pPr>
        <w:pStyle w:val="RTFootnotetext"/>
      </w:pPr>
      <w:r w:rsidRPr="002E4582">
        <w:footnoteRef/>
      </w:r>
      <w:r w:rsidRPr="002E4582">
        <w:t xml:space="preserve"> </w:t>
      </w:r>
      <w:proofErr w:type="spellStart"/>
      <w:proofErr w:type="gramStart"/>
      <w:r w:rsidRPr="002E4582">
        <w:t>Guttmacher</w:t>
      </w:r>
      <w:proofErr w:type="spellEnd"/>
      <w:r w:rsidRPr="002E4582">
        <w:t xml:space="preserve"> Substance Abuse During Pregnancy</w:t>
      </w:r>
      <w:r>
        <w:t>.</w:t>
      </w:r>
      <w:proofErr w:type="gramEnd"/>
    </w:p>
  </w:footnote>
  <w:footnote w:id="46">
    <w:p w14:paraId="06B5CBD2" w14:textId="52E67EE1" w:rsidR="00876AA0" w:rsidRPr="002E4582" w:rsidRDefault="00876AA0" w:rsidP="00876AA0">
      <w:pPr>
        <w:pStyle w:val="RTFootnotetext"/>
      </w:pPr>
      <w:r w:rsidRPr="002E4582">
        <w:footnoteRef/>
      </w:r>
      <w:r w:rsidRPr="002E4582">
        <w:t xml:space="preserve"> </w:t>
      </w:r>
      <w:proofErr w:type="spellStart"/>
      <w:proofErr w:type="gramStart"/>
      <w:r w:rsidRPr="002E4582">
        <w:t>Guttmacher</w:t>
      </w:r>
      <w:proofErr w:type="spellEnd"/>
      <w:r w:rsidRPr="002E4582">
        <w:t xml:space="preserve"> Substance Abuse During Pregnancy</w:t>
      </w:r>
      <w:r>
        <w:t>.</w:t>
      </w:r>
      <w:proofErr w:type="gramEnd"/>
    </w:p>
  </w:footnote>
  <w:footnote w:id="47">
    <w:p w14:paraId="0758FD93" w14:textId="04DBE73B" w:rsidR="00876AA0" w:rsidRPr="002E4582" w:rsidRDefault="00876AA0" w:rsidP="00D04949">
      <w:pPr>
        <w:pStyle w:val="RTFootnotetext"/>
      </w:pPr>
      <w:r w:rsidRPr="002E4582">
        <w:footnoteRef/>
      </w:r>
      <w:r w:rsidRPr="002E4582">
        <w:t xml:space="preserve"> American Congress of Ob</w:t>
      </w:r>
      <w:r>
        <w:t>stetricians and Gynecologists, ‘</w:t>
      </w:r>
      <w:r w:rsidRPr="002E4582">
        <w:t xml:space="preserve">Toolkit on State Legislation: Pregnant Women &amp; Prescription Drug </w:t>
      </w:r>
      <w:r>
        <w:t>Abuse, Dependence and Addiction’</w:t>
      </w:r>
      <w:r w:rsidRPr="002E4582">
        <w:t xml:space="preserve">, </w:t>
      </w:r>
      <w:hyperlink r:id="rId19" w:history="1">
        <w:r w:rsidRPr="002E4582">
          <w:rPr>
            <w:rStyle w:val="Hyperlink"/>
            <w:color w:val="000000" w:themeColor="text1"/>
            <w:u w:val="none"/>
          </w:rPr>
          <w:t>www.acog.org/-/media/Departments/Government-Relations-and-Outreach/NASToolkit.pdf</w:t>
        </w:r>
      </w:hyperlink>
      <w:r w:rsidRPr="002E4582">
        <w:t xml:space="preserve"> </w:t>
      </w:r>
    </w:p>
  </w:footnote>
  <w:footnote w:id="48">
    <w:p w14:paraId="136800CF" w14:textId="46796F33" w:rsidR="00876AA0" w:rsidRPr="002867CB" w:rsidRDefault="00876AA0" w:rsidP="00D04949">
      <w:pPr>
        <w:pStyle w:val="RTFootnotetext"/>
      </w:pPr>
      <w:r w:rsidRPr="002E4582">
        <w:footnoteRef/>
      </w:r>
      <w:r>
        <w:t xml:space="preserve"> U.S. Children’s Bureau, ‘</w:t>
      </w:r>
      <w:r w:rsidRPr="002E4582">
        <w:t>Par</w:t>
      </w:r>
      <w:r>
        <w:t>ental Drug Abuse as Child Abuse’,</w:t>
      </w:r>
      <w:r w:rsidRPr="002E4582">
        <w:t xml:space="preserve"> Child Welfare Information Gateway</w:t>
      </w:r>
      <w:r>
        <w:t>,</w:t>
      </w:r>
      <w:r w:rsidRPr="002E4582">
        <w:t xml:space="preserve"> </w:t>
      </w:r>
      <w:hyperlink r:id="rId20" w:history="1">
        <w:r w:rsidRPr="002E4582">
          <w:rPr>
            <w:rStyle w:val="Hyperlink"/>
            <w:color w:val="000000" w:themeColor="text1"/>
            <w:u w:val="none"/>
          </w:rPr>
          <w:t>www.childwelfare.gov/pubPDFs/drugexposed.pdf</w:t>
        </w:r>
      </w:hyperlink>
      <w:r w:rsidRPr="002E4582">
        <w:t xml:space="preserve"> </w:t>
      </w:r>
    </w:p>
  </w:footnote>
  <w:footnote w:id="49">
    <w:p w14:paraId="17F3B12F" w14:textId="708CBA6F" w:rsidR="00876AA0" w:rsidRPr="002E4582" w:rsidRDefault="00876AA0" w:rsidP="00D04949">
      <w:pPr>
        <w:pStyle w:val="RTFootnotetext"/>
      </w:pPr>
      <w:r w:rsidRPr="002E4582">
        <w:footnoteRef/>
      </w:r>
      <w:r w:rsidRPr="002E4582">
        <w:t xml:space="preserve"> </w:t>
      </w:r>
      <w:r>
        <w:t xml:space="preserve">Interview, </w:t>
      </w:r>
      <w:r w:rsidRPr="002E4582">
        <w:t xml:space="preserve">Lisa </w:t>
      </w:r>
      <w:proofErr w:type="spellStart"/>
      <w:r w:rsidRPr="002E4582">
        <w:t>Sangoi</w:t>
      </w:r>
      <w:proofErr w:type="spellEnd"/>
      <w:r w:rsidRPr="002E4582">
        <w:t>, NYU Family Defense Clinic, September 2016.</w:t>
      </w:r>
    </w:p>
  </w:footnote>
  <w:footnote w:id="50">
    <w:p w14:paraId="7402E6D2" w14:textId="47B7906E" w:rsidR="00876AA0" w:rsidRPr="002E4582" w:rsidRDefault="00876AA0" w:rsidP="002E4582">
      <w:pPr>
        <w:pStyle w:val="RTFootnotetext"/>
      </w:pPr>
      <w:r w:rsidRPr="002E4582">
        <w:footnoteRef/>
      </w:r>
      <w:r w:rsidRPr="002E4582">
        <w:t xml:space="preserve"> Title 63 OK Stat § 63-1-546.5 (2015); Wis. Stat. Ann. § 48.193; Minn. Stat. Ann. § 253B.02(2); S.D. Codified Laws § 34-20A-63; North Dakota Chapter 50-25.1-16</w:t>
      </w:r>
      <w:r>
        <w:t>; a</w:t>
      </w:r>
      <w:r w:rsidRPr="002E4582">
        <w:t xml:space="preserve">lso see National Institutes for Alcohol Abuse and Alcoholism, Alcohol Policy Information System, Pregnancy and Alcohol: Civil Commitment, alcoholpolicy.niaaa.nih.gov/Alcohol_and_Pregnancy_Civil_Commitment.html </w:t>
      </w:r>
    </w:p>
  </w:footnote>
  <w:footnote w:id="51">
    <w:p w14:paraId="2E5E0C30" w14:textId="682CB71B" w:rsidR="00876AA0" w:rsidRPr="002E4582" w:rsidRDefault="00876AA0" w:rsidP="002E4582">
      <w:pPr>
        <w:pStyle w:val="RTFootnotetext"/>
      </w:pPr>
      <w:r w:rsidRPr="002E4582">
        <w:footnoteRef/>
      </w:r>
      <w:r w:rsidRPr="002E4582">
        <w:t xml:space="preserve"> See Wisconsin’s fetal protection law: </w:t>
      </w:r>
      <w:hyperlink r:id="rId21" w:history="1">
        <w:r w:rsidRPr="002E4582">
          <w:rPr>
            <w:rStyle w:val="Hyperlink"/>
            <w:color w:val="000000" w:themeColor="text1"/>
            <w:u w:val="none"/>
          </w:rPr>
          <w:t>https://docs.legis.wisconsin.gov/statutes/statutes/48/III/133/</w:t>
        </w:r>
      </w:hyperlink>
      <w:r w:rsidRPr="002E4582">
        <w:rPr>
          <w:rStyle w:val="Hyperlink"/>
          <w:color w:val="000000" w:themeColor="text1"/>
          <w:u w:val="none"/>
        </w:rPr>
        <w:t xml:space="preserve"> </w:t>
      </w:r>
    </w:p>
  </w:footnote>
  <w:footnote w:id="52">
    <w:p w14:paraId="690657B0" w14:textId="16797D46" w:rsidR="00876AA0" w:rsidRPr="002E4582" w:rsidRDefault="00876AA0" w:rsidP="002E4582">
      <w:pPr>
        <w:pStyle w:val="RTFootnotetext"/>
      </w:pPr>
      <w:r w:rsidRPr="002E4582">
        <w:footnoteRef/>
      </w:r>
      <w:r w:rsidRPr="002E4582">
        <w:t xml:space="preserve"> Working Group on Arbitrary Detention: Preliminary Findings from its visit to the United States of America (11-24 October 2016)</w:t>
      </w:r>
      <w:r>
        <w:t>,</w:t>
      </w:r>
      <w:r w:rsidRPr="002E4582">
        <w:t xml:space="preserve"> </w:t>
      </w:r>
      <w:hyperlink r:id="rId22" w:history="1">
        <w:r w:rsidRPr="002E4582">
          <w:rPr>
            <w:rStyle w:val="Hyperlink"/>
            <w:color w:val="000000" w:themeColor="text1"/>
            <w:u w:val="none"/>
          </w:rPr>
          <w:t>www.ohchr.org/EN/NewsEvents/Pages/DisplayNews.aspx?NewsID=20746&amp;LangID=E</w:t>
        </w:r>
      </w:hyperlink>
      <w:r w:rsidRPr="002E4582">
        <w:t xml:space="preserve">; The Supreme Court of Canada found detention of a pregnant woman dependent on drugs impermissible, see: Winnipeg Child and Family Services (Northwest Area) v. G. (D.F.), [1997] 3 S.C.R. 925, </w:t>
      </w:r>
      <w:hyperlink r:id="rId23" w:history="1">
        <w:r w:rsidRPr="002E4582">
          <w:rPr>
            <w:rStyle w:val="Hyperlink"/>
            <w:color w:val="000000" w:themeColor="text1"/>
            <w:u w:val="none"/>
          </w:rPr>
          <w:t>https://scc-csc.lexum.com/scc-csc/scc-csc/en/item/1562/index.do</w:t>
        </w:r>
      </w:hyperlink>
    </w:p>
  </w:footnote>
  <w:footnote w:id="53">
    <w:p w14:paraId="335EFB5E" w14:textId="4DC7A093" w:rsidR="00876AA0" w:rsidRPr="002E4582" w:rsidRDefault="00876AA0" w:rsidP="002E4582">
      <w:pPr>
        <w:pStyle w:val="RTFootnotetext"/>
      </w:pPr>
      <w:r w:rsidRPr="002E4582">
        <w:footnoteRef/>
      </w:r>
      <w:r w:rsidRPr="002E4582">
        <w:t xml:space="preserve"> See National Advocates for Pregnant Women </w:t>
      </w:r>
      <w:r>
        <w:t>‘</w:t>
      </w:r>
      <w:r w:rsidRPr="002E4582">
        <w:t>First Fed Challenge To Pregnant Woman’s Arrest Under “Personhood”-Like Measure</w:t>
      </w:r>
      <w:r>
        <w:t>’, p</w:t>
      </w:r>
      <w:r w:rsidRPr="002E4582">
        <w:t xml:space="preserve">ress Release </w:t>
      </w:r>
      <w:r>
        <w:t xml:space="preserve">2 </w:t>
      </w:r>
      <w:r w:rsidRPr="002E4582">
        <w:t xml:space="preserve">October 2013; Erik </w:t>
      </w:r>
      <w:proofErr w:type="spellStart"/>
      <w:r w:rsidRPr="002E4582">
        <w:t>Eckholm</w:t>
      </w:r>
      <w:proofErr w:type="spellEnd"/>
      <w:r w:rsidRPr="002E4582">
        <w:t xml:space="preserve">, Case Explores Rights of Fetus Versus Mother. New York Times, </w:t>
      </w:r>
      <w:r>
        <w:t xml:space="preserve">23 </w:t>
      </w:r>
      <w:r w:rsidRPr="002E4582">
        <w:t>Oct</w:t>
      </w:r>
      <w:r>
        <w:t>ober</w:t>
      </w:r>
      <w:r w:rsidRPr="002E4582">
        <w:t xml:space="preserve"> 2013</w:t>
      </w:r>
      <w:r>
        <w:t>,</w:t>
      </w:r>
      <w:r w:rsidRPr="002E4582">
        <w:t xml:space="preserve"> </w:t>
      </w:r>
      <w:hyperlink r:id="rId24" w:history="1">
        <w:r w:rsidRPr="002E4582">
          <w:rPr>
            <w:rStyle w:val="Hyperlink"/>
            <w:color w:val="000000" w:themeColor="text1"/>
            <w:u w:val="none"/>
          </w:rPr>
          <w:t>www.nytimes.com/2013/10/24/us/case-explores-rights-of-fetus-versus-mother.html</w:t>
        </w:r>
      </w:hyperlink>
    </w:p>
  </w:footnote>
  <w:footnote w:id="54">
    <w:p w14:paraId="18863431" w14:textId="2B5C4B93" w:rsidR="00876AA0" w:rsidRDefault="00876AA0">
      <w:pPr>
        <w:pStyle w:val="FootnoteText"/>
      </w:pPr>
      <w:r>
        <w:rPr>
          <w:rStyle w:val="FootnoteReference"/>
        </w:rPr>
        <w:footnoteRef/>
      </w:r>
      <w:r>
        <w:t xml:space="preserve"> See National Advocates for Pregnant Women ‘Federal Court Declares Wisconsin “Unborn Child Protection” Law Unconstitutional’, press release 1 May 2017. </w:t>
      </w:r>
    </w:p>
  </w:footnote>
  <w:footnote w:id="55">
    <w:p w14:paraId="198AD109" w14:textId="496F161D" w:rsidR="00876AA0" w:rsidRDefault="00876AA0">
      <w:pPr>
        <w:pStyle w:val="FootnoteText"/>
      </w:pPr>
      <w:r>
        <w:rPr>
          <w:rStyle w:val="FootnoteReference"/>
        </w:rPr>
        <w:footnoteRef/>
      </w:r>
      <w:r>
        <w:t xml:space="preserve"> United States District Court for the Western District of Wisconsin </w:t>
      </w:r>
      <w:r w:rsidRPr="00F963D2">
        <w:rPr>
          <w:i/>
        </w:rPr>
        <w:t xml:space="preserve">Tamara M. </w:t>
      </w:r>
      <w:proofErr w:type="spellStart"/>
      <w:r w:rsidRPr="00F963D2">
        <w:rPr>
          <w:i/>
        </w:rPr>
        <w:t>Loertscher</w:t>
      </w:r>
      <w:proofErr w:type="spellEnd"/>
      <w:r w:rsidRPr="00F963D2">
        <w:rPr>
          <w:i/>
        </w:rPr>
        <w:t xml:space="preserve"> v Eloise Anderson, Brad D. </w:t>
      </w:r>
      <w:proofErr w:type="spellStart"/>
      <w:r w:rsidRPr="00F963D2">
        <w:rPr>
          <w:i/>
        </w:rPr>
        <w:t>Schimel</w:t>
      </w:r>
      <w:proofErr w:type="spellEnd"/>
      <w:r w:rsidRPr="00F963D2">
        <w:rPr>
          <w:i/>
        </w:rPr>
        <w:t>, and Taylor County</w:t>
      </w:r>
      <w:r>
        <w:t xml:space="preserve"> Case 3:14-cv-00870-jdp</w:t>
      </w:r>
    </w:p>
  </w:footnote>
  <w:footnote w:id="56">
    <w:p w14:paraId="394BEFBB" w14:textId="45B032C6" w:rsidR="00876AA0" w:rsidRDefault="00876AA0">
      <w:pPr>
        <w:pStyle w:val="FootnoteText"/>
      </w:pPr>
      <w:r>
        <w:rPr>
          <w:rStyle w:val="FootnoteReference"/>
        </w:rPr>
        <w:footnoteRef/>
      </w:r>
      <w:r>
        <w:t xml:space="preserve"> United States District Court for the Western District of Wisconsin </w:t>
      </w:r>
      <w:r w:rsidRPr="00F963D2">
        <w:rPr>
          <w:i/>
        </w:rPr>
        <w:t xml:space="preserve">Tamara M. </w:t>
      </w:r>
      <w:proofErr w:type="spellStart"/>
      <w:r w:rsidRPr="00F963D2">
        <w:rPr>
          <w:i/>
        </w:rPr>
        <w:t>Loertscher</w:t>
      </w:r>
      <w:proofErr w:type="spellEnd"/>
      <w:r w:rsidRPr="00F963D2">
        <w:rPr>
          <w:i/>
        </w:rPr>
        <w:t xml:space="preserve"> v Eloise Anderson, Brad D. </w:t>
      </w:r>
      <w:proofErr w:type="spellStart"/>
      <w:r w:rsidRPr="00F963D2">
        <w:rPr>
          <w:i/>
        </w:rPr>
        <w:t>Schimel</w:t>
      </w:r>
      <w:proofErr w:type="spellEnd"/>
      <w:r w:rsidRPr="00F963D2">
        <w:rPr>
          <w:i/>
        </w:rPr>
        <w:t>, and Taylor County</w:t>
      </w:r>
      <w:r>
        <w:t xml:space="preserve"> Case 3:14-cv-00870-jdp</w:t>
      </w:r>
    </w:p>
  </w:footnote>
  <w:footnote w:id="57">
    <w:p w14:paraId="5DDE055C" w14:textId="7A1D6199" w:rsidR="00876AA0" w:rsidRPr="006F45AE" w:rsidRDefault="00876AA0" w:rsidP="002E4582">
      <w:pPr>
        <w:pStyle w:val="RTFootnotetext"/>
      </w:pPr>
      <w:r w:rsidRPr="002E4582">
        <w:footnoteRef/>
      </w:r>
      <w:r w:rsidRPr="002E4582">
        <w:t xml:space="preserve"> See National Advocates for Pregnant Women </w:t>
      </w:r>
      <w:r>
        <w:t>‘</w:t>
      </w:r>
      <w:r w:rsidRPr="002E4582">
        <w:t xml:space="preserve">First Fed Challenge </w:t>
      </w:r>
      <w:proofErr w:type="gramStart"/>
      <w:r w:rsidRPr="002E4582">
        <w:t>To</w:t>
      </w:r>
      <w:proofErr w:type="gramEnd"/>
      <w:r w:rsidRPr="002E4582">
        <w:t xml:space="preserve"> Pregnant Woman’s Arrest Under “</w:t>
      </w:r>
      <w:proofErr w:type="spellStart"/>
      <w:r w:rsidRPr="002E4582">
        <w:t>Pershonhood</w:t>
      </w:r>
      <w:proofErr w:type="spellEnd"/>
      <w:r>
        <w:t>’</w:t>
      </w:r>
      <w:r w:rsidRPr="002E4582">
        <w:t>-Like Measure”</w:t>
      </w:r>
      <w:r>
        <w:t>, p</w:t>
      </w:r>
      <w:r w:rsidRPr="002E4582">
        <w:t xml:space="preserve">ress Release </w:t>
      </w:r>
      <w:r>
        <w:t xml:space="preserve">2 </w:t>
      </w:r>
      <w:r w:rsidRPr="002E4582">
        <w:t>October 2013.</w:t>
      </w:r>
    </w:p>
  </w:footnote>
  <w:footnote w:id="58">
    <w:p w14:paraId="29808DD0" w14:textId="0E76C0BF" w:rsidR="00876AA0" w:rsidRPr="002F1FAB" w:rsidRDefault="00876AA0" w:rsidP="002F1FAB">
      <w:pPr>
        <w:pStyle w:val="RTFootnotetext"/>
      </w:pPr>
      <w:r w:rsidRPr="002F1FAB">
        <w:footnoteRef/>
      </w:r>
      <w:r>
        <w:t xml:space="preserve"> L.</w:t>
      </w:r>
      <w:r w:rsidRPr="002F1FAB">
        <w:t xml:space="preserve"> Paltrow, Defending the Rights of Pregnant Addicts, Champion, Aug. 1993, cited in D.E. Roberts, Unshackling Black Motherhood, 95 Mich. L. Rev. 1996-1997.</w:t>
      </w:r>
    </w:p>
  </w:footnote>
  <w:footnote w:id="59">
    <w:p w14:paraId="43CD33E9" w14:textId="1F8F699C" w:rsidR="00876AA0" w:rsidRPr="002F1FAB" w:rsidRDefault="00876AA0" w:rsidP="002F1FAB">
      <w:pPr>
        <w:pStyle w:val="RTFootnotetext"/>
      </w:pPr>
      <w:r w:rsidRPr="002F1FAB">
        <w:footnoteRef/>
      </w:r>
      <w:r>
        <w:t xml:space="preserve"> L.</w:t>
      </w:r>
      <w:r w:rsidRPr="002F1FAB">
        <w:t xml:space="preserve"> Paltrow, Defending the Rights of Pregnant Addicts, Champion, Aug. 1993, cited in D.E. Roberts, Unshackling Black Motherhood, 95 Mich. L. Rev. 1996-1997; US Census Data available at census.gov</w:t>
      </w:r>
    </w:p>
  </w:footnote>
  <w:footnote w:id="60">
    <w:p w14:paraId="324D5932" w14:textId="34E7AF20" w:rsidR="00876AA0" w:rsidRPr="002F1FAB" w:rsidRDefault="00876AA0" w:rsidP="002F1FAB">
      <w:pPr>
        <w:pStyle w:val="RTFootnotetext"/>
      </w:pPr>
      <w:r w:rsidRPr="002F1FAB">
        <w:footnoteRef/>
      </w:r>
      <w:r w:rsidRPr="002F1FAB">
        <w:t xml:space="preserve"> Human Rights Council, Report of the Working Group of experts on people of African descent, 6 August 2010, A/HRC/15/18; Human Rights Watch, </w:t>
      </w:r>
      <w:r>
        <w:t>‘</w:t>
      </w:r>
      <w:r w:rsidRPr="002F1FAB">
        <w:t>Decades of Disparity: Drug Arrests and Race in the United States</w:t>
      </w:r>
      <w:r>
        <w:t>’</w:t>
      </w:r>
      <w:r w:rsidRPr="002F1FAB">
        <w:t xml:space="preserve"> 2009, </w:t>
      </w:r>
      <w:hyperlink r:id="rId25" w:history="1">
        <w:r w:rsidRPr="002F1FAB">
          <w:rPr>
            <w:rStyle w:val="Hyperlink"/>
            <w:color w:val="000000" w:themeColor="text1"/>
            <w:u w:val="none"/>
          </w:rPr>
          <w:t>www.hrw.org/sites/default/files/reports/us0309web_1.pdf</w:t>
        </w:r>
      </w:hyperlink>
      <w:r w:rsidRPr="002F1FAB">
        <w:t xml:space="preserve"> </w:t>
      </w:r>
    </w:p>
  </w:footnote>
  <w:footnote w:id="61">
    <w:p w14:paraId="5C63AE0D" w14:textId="77777777" w:rsidR="00876AA0" w:rsidRPr="002F1FAB" w:rsidRDefault="00876AA0" w:rsidP="002F1FAB">
      <w:pPr>
        <w:pStyle w:val="RTFootnotetext"/>
      </w:pPr>
      <w:r w:rsidRPr="002F1FAB">
        <w:footnoteRef/>
      </w:r>
      <w:r w:rsidRPr="002F1FAB">
        <w:t xml:space="preserve"> Human Rights Council, Report of the Working Group of experts on people of African descent, 6 August 2010, A/HRC/15/18</w:t>
      </w:r>
    </w:p>
  </w:footnote>
  <w:footnote w:id="62">
    <w:p w14:paraId="77190F39" w14:textId="4420DFAE" w:rsidR="00876AA0" w:rsidRPr="002F1FAB" w:rsidRDefault="00876AA0" w:rsidP="002F1FAB">
      <w:pPr>
        <w:pStyle w:val="RTFootnotetext"/>
      </w:pPr>
      <w:r w:rsidRPr="002F1FAB">
        <w:footnoteRef/>
      </w:r>
      <w:r w:rsidRPr="002F1FAB">
        <w:t xml:space="preserve"> These early prosecutions have been recognized as part of a long legacy of government policies to control </w:t>
      </w:r>
      <w:r>
        <w:t>b</w:t>
      </w:r>
      <w:r w:rsidRPr="002F1FAB">
        <w:t>lack women’s bodies, reproductive lives and their ability to parent.</w:t>
      </w:r>
      <w:r>
        <w:t xml:space="preserve"> </w:t>
      </w:r>
      <w:r w:rsidRPr="002F1FAB">
        <w:t xml:space="preserve">From the control of </w:t>
      </w:r>
      <w:r>
        <w:t>b</w:t>
      </w:r>
      <w:r w:rsidRPr="002F1FAB">
        <w:t xml:space="preserve">lack women’s reproductive lives during slavery, to abusive sterilization in the 20th Century, and disproportionate removal of </w:t>
      </w:r>
      <w:r>
        <w:t>b</w:t>
      </w:r>
      <w:r w:rsidRPr="002F1FAB">
        <w:t xml:space="preserve">lack children from their families, criminalizing pregnancy became part of this broader legacy. See: D. Roberts </w:t>
      </w:r>
      <w:r>
        <w:t>‘</w:t>
      </w:r>
      <w:r w:rsidRPr="002F1FAB">
        <w:t>Punishing Drug Addicts Who Have Babies: Women of Color, Equality, and the Right to Privacy</w:t>
      </w:r>
      <w:r>
        <w:t>’,</w:t>
      </w:r>
      <w:r w:rsidRPr="002F1FAB">
        <w:t xml:space="preserve"> Harvard Law Review 104:7 May 1991.</w:t>
      </w:r>
    </w:p>
  </w:footnote>
  <w:footnote w:id="63">
    <w:p w14:paraId="1769EA22" w14:textId="1ED221C1" w:rsidR="00876AA0" w:rsidRPr="002F1FAB" w:rsidRDefault="00876AA0" w:rsidP="002F1FAB">
      <w:pPr>
        <w:pStyle w:val="RTFootnotetext"/>
      </w:pPr>
      <w:r w:rsidRPr="002F1FAB">
        <w:footnoteRef/>
      </w:r>
      <w:r w:rsidRPr="002F1FAB">
        <w:t xml:space="preserve"> For example see: LM Betancourt, W</w:t>
      </w:r>
      <w:r>
        <w:t>.</w:t>
      </w:r>
      <w:r w:rsidRPr="002F1FAB">
        <w:t xml:space="preserve"> Yang, N</w:t>
      </w:r>
      <w:r>
        <w:t>.</w:t>
      </w:r>
      <w:r w:rsidRPr="002F1FAB">
        <w:t>L</w:t>
      </w:r>
      <w:r>
        <w:t>.</w:t>
      </w:r>
      <w:r w:rsidRPr="002F1FAB">
        <w:t xml:space="preserve"> Brodsky, PR</w:t>
      </w:r>
      <w:r>
        <w:t>.</w:t>
      </w:r>
      <w:r w:rsidRPr="002F1FAB">
        <w:t xml:space="preserve"> Gallagher, E</w:t>
      </w:r>
      <w:r>
        <w:t>.</w:t>
      </w:r>
      <w:r w:rsidRPr="002F1FAB">
        <w:t>K</w:t>
      </w:r>
      <w:r>
        <w:t>.</w:t>
      </w:r>
      <w:r w:rsidRPr="002F1FAB">
        <w:t xml:space="preserve"> </w:t>
      </w:r>
      <w:proofErr w:type="spellStart"/>
      <w:r w:rsidRPr="002F1FAB">
        <w:t>Malmud</w:t>
      </w:r>
      <w:proofErr w:type="spellEnd"/>
      <w:r w:rsidRPr="002F1FAB">
        <w:t>, J</w:t>
      </w:r>
      <w:r>
        <w:t>.</w:t>
      </w:r>
      <w:r w:rsidRPr="002F1FAB">
        <w:t>M</w:t>
      </w:r>
      <w:r>
        <w:t>.</w:t>
      </w:r>
      <w:r w:rsidRPr="002F1FAB">
        <w:t xml:space="preserve"> </w:t>
      </w:r>
      <w:proofErr w:type="spellStart"/>
      <w:r w:rsidRPr="002F1FAB">
        <w:t>Giannetta</w:t>
      </w:r>
      <w:proofErr w:type="spellEnd"/>
      <w:r w:rsidRPr="002F1FAB">
        <w:t>, M</w:t>
      </w:r>
      <w:r>
        <w:t>.</w:t>
      </w:r>
      <w:r w:rsidRPr="002F1FAB">
        <w:t>J</w:t>
      </w:r>
      <w:r>
        <w:t>.</w:t>
      </w:r>
      <w:r w:rsidRPr="002F1FAB">
        <w:t xml:space="preserve"> Farah, &amp; H</w:t>
      </w:r>
      <w:r>
        <w:t>.</w:t>
      </w:r>
      <w:r w:rsidRPr="002F1FAB">
        <w:t xml:space="preserve"> Hurt: Adolescents with and without gestational cocaine exposure: Longitudinal analysis of inhibitory control, memory and receptive language. </w:t>
      </w:r>
      <w:proofErr w:type="spellStart"/>
      <w:r w:rsidRPr="002F1FAB">
        <w:t>Neurotoxicology</w:t>
      </w:r>
      <w:proofErr w:type="spellEnd"/>
      <w:r w:rsidRPr="002F1FAB">
        <w:t xml:space="preserve"> Teratology 22(1): 33-46, Jan 2011; L. Betancourt and others, Adolescents with and without Gestational Cocaine Exposure: Longitudinal Analysis of Inhibitory Control, Memory and Receptive Language, Archives of Pediatric and Adolescent Medicine, 1997, 151(12): 1237-41.</w:t>
      </w:r>
    </w:p>
  </w:footnote>
  <w:footnote w:id="64">
    <w:p w14:paraId="5547C788" w14:textId="62519A36" w:rsidR="00876AA0" w:rsidRPr="002F1FAB" w:rsidRDefault="00876AA0" w:rsidP="002F1FAB">
      <w:pPr>
        <w:pStyle w:val="RTFootnotetext"/>
      </w:pPr>
      <w:r w:rsidRPr="002F1FAB">
        <w:footnoteRef/>
      </w:r>
      <w:r>
        <w:t xml:space="preserve"> ‘</w:t>
      </w:r>
      <w:r w:rsidRPr="002F1FAB">
        <w:t>Poverty More Damaging Than Gestational Drug Exposure</w:t>
      </w:r>
      <w:r>
        <w:t>’,</w:t>
      </w:r>
      <w:r w:rsidRPr="002F1FAB">
        <w:t xml:space="preserve"> Neonatology Update, Children’s Hospital of Pennsylvania, October 2013, </w:t>
      </w:r>
      <w:hyperlink r:id="rId26" w:history="1">
        <w:r w:rsidRPr="002F1FAB">
          <w:rPr>
            <w:rStyle w:val="Hyperlink"/>
            <w:color w:val="000000" w:themeColor="text1"/>
            <w:u w:val="none"/>
          </w:rPr>
          <w:t>www.chop.edu/news/poverty-more-damaging-gestational-drug-exposure</w:t>
        </w:r>
      </w:hyperlink>
      <w:r w:rsidRPr="002F1FAB">
        <w:t xml:space="preserve"> </w:t>
      </w:r>
    </w:p>
  </w:footnote>
  <w:footnote w:id="65">
    <w:p w14:paraId="3DBE9A8D" w14:textId="7288A8C7" w:rsidR="00876AA0" w:rsidRPr="002F1FAB" w:rsidRDefault="00876AA0" w:rsidP="002F1FAB">
      <w:pPr>
        <w:pStyle w:val="RTFootnotetext"/>
      </w:pPr>
      <w:r w:rsidRPr="002F1FAB">
        <w:footnoteRef/>
      </w:r>
      <w:r w:rsidRPr="002F1FAB">
        <w:t xml:space="preserve"> M. </w:t>
      </w:r>
      <w:proofErr w:type="spellStart"/>
      <w:r w:rsidRPr="002F1FAB">
        <w:t>Terplan</w:t>
      </w:r>
      <w:proofErr w:type="spellEnd"/>
      <w:r w:rsidRPr="002F1FAB">
        <w:t xml:space="preserve"> et al. </w:t>
      </w:r>
      <w:r>
        <w:t>‘</w:t>
      </w:r>
      <w:r w:rsidRPr="002F1FAB">
        <w:t>Prenatal Substance Use: Exploring Assumptions of Maternal Unfitness</w:t>
      </w:r>
      <w:r>
        <w:t>’</w:t>
      </w:r>
      <w:r w:rsidRPr="002F1FAB">
        <w:t>, Substance Abuse: Research and Treatment</w:t>
      </w:r>
      <w:r>
        <w:t xml:space="preserve">, </w:t>
      </w:r>
      <w:r w:rsidRPr="002F1FAB">
        <w:t>9(S2), p</w:t>
      </w:r>
      <w:r>
        <w:t>p.</w:t>
      </w:r>
      <w:r w:rsidRPr="002F1FAB">
        <w:t xml:space="preserve"> 1-4.</w:t>
      </w:r>
    </w:p>
  </w:footnote>
  <w:footnote w:id="66">
    <w:p w14:paraId="543BED83" w14:textId="7E1FAC9A" w:rsidR="00876AA0" w:rsidRPr="002867CB" w:rsidRDefault="00876AA0" w:rsidP="002F1FAB">
      <w:pPr>
        <w:pStyle w:val="RTFootnotetext"/>
      </w:pPr>
      <w:r w:rsidRPr="002F1FAB">
        <w:footnoteRef/>
      </w:r>
      <w:r w:rsidRPr="002F1FAB">
        <w:t xml:space="preserve"> G. Howard, </w:t>
      </w:r>
      <w:r>
        <w:t>‘</w:t>
      </w:r>
      <w:r w:rsidRPr="002F1FAB">
        <w:t>The Limits of Pure White: Raced Reproduction in the ‘Methamphetamine’ Crisis</w:t>
      </w:r>
      <w:r>
        <w:t>’,</w:t>
      </w:r>
      <w:r w:rsidRPr="002F1FAB">
        <w:t xml:space="preserve"> Women’s Rights Law Reporter, 35,</w:t>
      </w:r>
      <w:r>
        <w:t xml:space="preserve"> </w:t>
      </w:r>
      <w:r w:rsidRPr="002F1FAB">
        <w:t>2013.</w:t>
      </w:r>
    </w:p>
  </w:footnote>
  <w:footnote w:id="67">
    <w:p w14:paraId="1A138FB6" w14:textId="77777777" w:rsidR="00876AA0" w:rsidRPr="00B42837" w:rsidRDefault="00876AA0" w:rsidP="00B42837">
      <w:pPr>
        <w:pStyle w:val="RTFootnotetext"/>
      </w:pPr>
      <w:r w:rsidRPr="00B42837">
        <w:footnoteRef/>
      </w:r>
      <w:r w:rsidRPr="00B42837">
        <w:t xml:space="preserve"> Tennessee Department of Mental Health and Substance Abuse Services, Prescription for Success: Statewide Strategies to Prevent and Treat the Prescription Drug Abuse Epidemic in Tennessee, 2015.</w:t>
      </w:r>
    </w:p>
  </w:footnote>
  <w:footnote w:id="68">
    <w:p w14:paraId="7B7CF9C7" w14:textId="3CC44CBD" w:rsidR="00876AA0" w:rsidRPr="00B42837" w:rsidRDefault="00876AA0" w:rsidP="00B42837">
      <w:pPr>
        <w:pStyle w:val="RTFootnotetext"/>
      </w:pPr>
      <w:r w:rsidRPr="00B42837">
        <w:footnoteRef/>
      </w:r>
      <w:r w:rsidRPr="00B42837">
        <w:t xml:space="preserve"> L. Paltrow &amp; J. Flavin, 2013, </w:t>
      </w:r>
      <w:r>
        <w:t>‘</w:t>
      </w:r>
      <w:r w:rsidRPr="00B42837">
        <w:t>Arrests of and forced interventions on pregnant women in the United States (1973-2005): The implications for women's legal status and public health</w:t>
      </w:r>
      <w:r>
        <w:t>’</w:t>
      </w:r>
      <w:r w:rsidRPr="00B42837">
        <w:t>, Journal of Health Politics, Policy and Law, 2013.</w:t>
      </w:r>
    </w:p>
  </w:footnote>
  <w:footnote w:id="69">
    <w:p w14:paraId="04873E22" w14:textId="0A542C70" w:rsidR="00876AA0" w:rsidRPr="00B42837" w:rsidRDefault="00876AA0" w:rsidP="00B42837">
      <w:pPr>
        <w:pStyle w:val="RTFootnotetext"/>
      </w:pPr>
      <w:r w:rsidRPr="00B42837">
        <w:footnoteRef/>
      </w:r>
      <w:r w:rsidRPr="00B42837">
        <w:t xml:space="preserve"> See </w:t>
      </w:r>
      <w:proofErr w:type="spellStart"/>
      <w:r w:rsidRPr="00B42837">
        <w:t>Guttmacher</w:t>
      </w:r>
      <w:proofErr w:type="spellEnd"/>
      <w:r w:rsidRPr="00B42837">
        <w:t xml:space="preserve"> Institute, State Laws and Policies, for updates, </w:t>
      </w:r>
      <w:hyperlink r:id="rId27" w:history="1">
        <w:r w:rsidRPr="00B42837">
          <w:rPr>
            <w:rStyle w:val="Hyperlink"/>
            <w:color w:val="000000" w:themeColor="text1"/>
            <w:u w:val="none"/>
          </w:rPr>
          <w:t>www.guttmacher.org/state-policy/laws-policies</w:t>
        </w:r>
      </w:hyperlink>
      <w:r w:rsidRPr="00B42837">
        <w:t xml:space="preserve"> </w:t>
      </w:r>
    </w:p>
  </w:footnote>
  <w:footnote w:id="70">
    <w:p w14:paraId="5C84EA59" w14:textId="1DBB06B8" w:rsidR="00876AA0" w:rsidRDefault="00876AA0">
      <w:pPr>
        <w:pStyle w:val="FootnoteText"/>
      </w:pPr>
      <w:r>
        <w:rPr>
          <w:rStyle w:val="FootnoteReference"/>
        </w:rPr>
        <w:footnoteRef/>
      </w:r>
      <w:r>
        <w:t xml:space="preserve"> </w:t>
      </w:r>
      <w:proofErr w:type="spellStart"/>
      <w:r w:rsidRPr="00B42837">
        <w:t>Guttmacher</w:t>
      </w:r>
      <w:proofErr w:type="spellEnd"/>
      <w:r w:rsidRPr="00B42837">
        <w:t xml:space="preserve"> Institute, State Laws and Policies, for updates, </w:t>
      </w:r>
      <w:hyperlink r:id="rId28" w:history="1">
        <w:r w:rsidRPr="00B42837">
          <w:rPr>
            <w:rStyle w:val="Hyperlink"/>
            <w:color w:val="000000" w:themeColor="text1"/>
            <w:u w:val="none"/>
          </w:rPr>
          <w:t>www.guttmacher.org/state-policy/laws-policies</w:t>
        </w:r>
      </w:hyperlink>
    </w:p>
  </w:footnote>
  <w:footnote w:id="71">
    <w:p w14:paraId="53675520" w14:textId="5A398101" w:rsidR="00876AA0" w:rsidRPr="00B42837" w:rsidRDefault="00876AA0" w:rsidP="00B42837">
      <w:pPr>
        <w:pStyle w:val="RTFootnotetext"/>
      </w:pPr>
      <w:r w:rsidRPr="00B42837">
        <w:footnoteRef/>
      </w:r>
      <w:r w:rsidRPr="00B42837">
        <w:t xml:space="preserve"> For a summary see: </w:t>
      </w:r>
      <w:proofErr w:type="spellStart"/>
      <w:r w:rsidRPr="00B42837">
        <w:t>Guttmacher</w:t>
      </w:r>
      <w:proofErr w:type="spellEnd"/>
      <w:r w:rsidRPr="00B42837">
        <w:t xml:space="preserve"> Institute State Center Monthly State Update: Major Developments in 2015, </w:t>
      </w:r>
      <w:hyperlink r:id="rId29" w:history="1">
        <w:r w:rsidRPr="00B42837">
          <w:rPr>
            <w:rStyle w:val="Hyperlink"/>
            <w:color w:val="000000" w:themeColor="text1"/>
            <w:u w:val="none"/>
          </w:rPr>
          <w:t>www.guttmacher.org/statecenter/updates/index.html</w:t>
        </w:r>
      </w:hyperlink>
      <w:r w:rsidRPr="00B42837">
        <w:t xml:space="preserve"> </w:t>
      </w:r>
    </w:p>
  </w:footnote>
  <w:footnote w:id="72">
    <w:p w14:paraId="3E397DFF" w14:textId="77777777" w:rsidR="00876AA0" w:rsidRPr="00B42837" w:rsidRDefault="00876AA0" w:rsidP="00B42837">
      <w:pPr>
        <w:pStyle w:val="RTFootnotetext"/>
      </w:pPr>
      <w:r w:rsidRPr="00B42837">
        <w:footnoteRef/>
      </w:r>
      <w:r w:rsidRPr="00B42837">
        <w:t xml:space="preserve"> </w:t>
      </w:r>
      <w:proofErr w:type="gramStart"/>
      <w:r w:rsidRPr="00B42837">
        <w:t>Report of the Working Group on the issue of discrimination against women in law and in practice, on its mission to the United States, 7 June 2016, UN Doc.</w:t>
      </w:r>
      <w:proofErr w:type="gramEnd"/>
      <w:r w:rsidRPr="00B42837">
        <w:t xml:space="preserve"> </w:t>
      </w:r>
      <w:proofErr w:type="gramStart"/>
      <w:r w:rsidRPr="00B42837">
        <w:t>A/HRC/32/44/Add.2 at para.</w:t>
      </w:r>
      <w:proofErr w:type="gramEnd"/>
      <w:r w:rsidRPr="00B42837">
        <w:t xml:space="preserve"> 28.</w:t>
      </w:r>
    </w:p>
  </w:footnote>
  <w:footnote w:id="73">
    <w:p w14:paraId="3EA38384" w14:textId="6B96969C" w:rsidR="00876AA0" w:rsidRPr="00B42837" w:rsidRDefault="00876AA0" w:rsidP="00B42837">
      <w:pPr>
        <w:pStyle w:val="RTFootnotetext"/>
      </w:pPr>
      <w:r w:rsidRPr="00B42837">
        <w:footnoteRef/>
      </w:r>
      <w:r w:rsidRPr="00B42837">
        <w:t xml:space="preserve"> L. </w:t>
      </w:r>
      <w:proofErr w:type="spellStart"/>
      <w:r w:rsidRPr="00B42837">
        <w:t>Fentiman</w:t>
      </w:r>
      <w:proofErr w:type="spellEnd"/>
      <w:r w:rsidRPr="00B42837">
        <w:t xml:space="preserve">, </w:t>
      </w:r>
      <w:r>
        <w:t>‘</w:t>
      </w:r>
      <w:r w:rsidRPr="00B42837">
        <w:t>In the Name of Fetal Protection: Why American Prosecutors Pursue Pregnant Drug Users (And Other Countries Don't)</w:t>
      </w:r>
      <w:r>
        <w:t>’</w:t>
      </w:r>
      <w:r w:rsidRPr="00B42837">
        <w:t xml:space="preserve">, Columbia Journal of Gender and Law 647, 2009, </w:t>
      </w:r>
      <w:hyperlink r:id="rId30" w:history="1">
        <w:r w:rsidRPr="00B42837">
          <w:rPr>
            <w:rStyle w:val="Hyperlink"/>
            <w:color w:val="000000" w:themeColor="text1"/>
            <w:u w:val="none"/>
          </w:rPr>
          <w:t>http://digitalcommons.pace.edu/lawfaculty/655/</w:t>
        </w:r>
      </w:hyperlink>
      <w:r w:rsidRPr="00B42837">
        <w:t xml:space="preserve"> </w:t>
      </w:r>
    </w:p>
  </w:footnote>
  <w:footnote w:id="74">
    <w:p w14:paraId="21F93DAA" w14:textId="694F3AC8" w:rsidR="00876AA0" w:rsidRPr="00B42837" w:rsidRDefault="00876AA0" w:rsidP="00B42837">
      <w:pPr>
        <w:pStyle w:val="RTFootnotetext"/>
      </w:pPr>
      <w:r w:rsidRPr="00B42837">
        <w:footnoteRef/>
      </w:r>
      <w:r w:rsidRPr="00B42837">
        <w:t xml:space="preserve"> See </w:t>
      </w:r>
      <w:r>
        <w:t>‘</w:t>
      </w:r>
      <w:r w:rsidRPr="00B42837">
        <w:t>Justice for All?</w:t>
      </w:r>
      <w:r>
        <w:t>’,</w:t>
      </w:r>
      <w:r w:rsidRPr="00B42837">
        <w:t xml:space="preserve"> A Project by the Reflective Democracy Campaign on Who Prosecuted in America, </w:t>
      </w:r>
      <w:hyperlink r:id="rId31" w:history="1">
        <w:r w:rsidRPr="00B42837">
          <w:rPr>
            <w:rStyle w:val="Hyperlink"/>
            <w:color w:val="000000" w:themeColor="text1"/>
            <w:u w:val="none"/>
          </w:rPr>
          <w:t>http://wholeads.us/justice/</w:t>
        </w:r>
      </w:hyperlink>
      <w:r w:rsidRPr="00B42837">
        <w:t xml:space="preserve"> </w:t>
      </w:r>
    </w:p>
  </w:footnote>
  <w:footnote w:id="75">
    <w:p w14:paraId="71BF6D02" w14:textId="77777777" w:rsidR="00876AA0" w:rsidRPr="00B42837" w:rsidRDefault="00876AA0" w:rsidP="00B42837">
      <w:pPr>
        <w:pStyle w:val="RTFootnotetext"/>
      </w:pPr>
      <w:r w:rsidRPr="00B42837">
        <w:footnoteRef/>
      </w:r>
      <w:r w:rsidRPr="00B42837">
        <w:t xml:space="preserve"> Interview, Josh </w:t>
      </w:r>
      <w:proofErr w:type="spellStart"/>
      <w:r w:rsidRPr="00B42837">
        <w:t>Spickler</w:t>
      </w:r>
      <w:proofErr w:type="spellEnd"/>
      <w:r w:rsidRPr="00B42837">
        <w:t xml:space="preserve">, Public Defender, Memphis, TN, 20 January 2015.  </w:t>
      </w:r>
    </w:p>
  </w:footnote>
  <w:footnote w:id="76">
    <w:p w14:paraId="10A511CD" w14:textId="06F85C6D" w:rsidR="00876AA0" w:rsidRDefault="00876AA0" w:rsidP="00B42837">
      <w:pPr>
        <w:pStyle w:val="RTFootnotetext"/>
      </w:pPr>
      <w:r w:rsidRPr="00B42837">
        <w:footnoteRef/>
      </w:r>
      <w:r w:rsidRPr="00B42837">
        <w:t xml:space="preserve"> See OHCHR, Gender Stereotypes and Stereotyping and Women’s Rights, September 2014, www.ohchr.org/Documents/Issues/Women/WRGS/OnePagers/Gender_stereotyping.pdf; R. Cook and S. Cusack, “Gender Stereotyping: Transnational Legal Perspectives”, University of Pennsylvania Press, 2010.</w:t>
      </w:r>
    </w:p>
  </w:footnote>
  <w:footnote w:id="77">
    <w:p w14:paraId="27A8A2C4" w14:textId="5FA6F376" w:rsidR="00876AA0" w:rsidRPr="00AF07E5" w:rsidRDefault="00876AA0" w:rsidP="00AF07E5">
      <w:pPr>
        <w:pStyle w:val="RTFootnotetext"/>
      </w:pPr>
      <w:r w:rsidRPr="00AF07E5">
        <w:footnoteRef/>
      </w:r>
      <w:r w:rsidRPr="00AF07E5">
        <w:t xml:space="preserve"> See: Miranda Waggoner, </w:t>
      </w:r>
      <w:r>
        <w:t>‘</w:t>
      </w:r>
      <w:r w:rsidRPr="00AF07E5">
        <w:t>Cultivating the Maternal Future: Public Health and the New Pre-Pregnant Self</w:t>
      </w:r>
      <w:r>
        <w:t>’,</w:t>
      </w:r>
      <w:r w:rsidRPr="00AF07E5">
        <w:t xml:space="preserve"> Signs: Journal of Women in Culture and Society and Miranda Waggoner, </w:t>
      </w:r>
      <w:r>
        <w:t>‘</w:t>
      </w:r>
      <w:r w:rsidRPr="00AF07E5">
        <w:t xml:space="preserve">Motherhood Preconceived: The Emergence of the Preconception Health and </w:t>
      </w:r>
      <w:r>
        <w:t>Healthcare</w:t>
      </w:r>
      <w:r w:rsidRPr="00AF07E5">
        <w:t xml:space="preserve"> Initiative</w:t>
      </w:r>
      <w:r>
        <w:t>’,</w:t>
      </w:r>
      <w:r w:rsidRPr="00AF07E5">
        <w:t> </w:t>
      </w:r>
      <w:r w:rsidRPr="00AF07E5">
        <w:rPr>
          <w:rStyle w:val="Emphasis"/>
          <w:i w:val="0"/>
          <w:iCs w:val="0"/>
        </w:rPr>
        <w:t>Journal of Health Politics, Policy and Law</w:t>
      </w:r>
      <w:r w:rsidRPr="00AF07E5">
        <w:t xml:space="preserve"> 38(2): 345-371, 2013.</w:t>
      </w:r>
    </w:p>
  </w:footnote>
  <w:footnote w:id="78">
    <w:p w14:paraId="0B790303" w14:textId="77777777" w:rsidR="00876AA0" w:rsidRPr="00AF07E5" w:rsidRDefault="00876AA0" w:rsidP="00AF07E5">
      <w:pPr>
        <w:pStyle w:val="RTFootnotetext"/>
      </w:pPr>
      <w:r w:rsidRPr="00AF07E5">
        <w:footnoteRef/>
      </w:r>
      <w:r w:rsidRPr="00AF07E5">
        <w:t xml:space="preserve"> </w:t>
      </w:r>
      <w:proofErr w:type="gramStart"/>
      <w:r w:rsidRPr="00AF07E5">
        <w:t>Report of the Working Group on the issue of discrimination against women in law and in practice, on its mission to the United States.</w:t>
      </w:r>
      <w:proofErr w:type="gramEnd"/>
      <w:r w:rsidRPr="00AF07E5">
        <w:t xml:space="preserve"> June 7 2016 UN Doc. </w:t>
      </w:r>
      <w:proofErr w:type="gramStart"/>
      <w:r w:rsidRPr="00AF07E5">
        <w:t>A/HRC/32/44/Add.2 at para.</w:t>
      </w:r>
      <w:proofErr w:type="gramEnd"/>
      <w:r w:rsidRPr="00AF07E5">
        <w:t xml:space="preserve"> </w:t>
      </w:r>
      <w:proofErr w:type="gramStart"/>
      <w:r w:rsidRPr="00AF07E5">
        <w:t>61 to 74.</w:t>
      </w:r>
      <w:proofErr w:type="gramEnd"/>
    </w:p>
  </w:footnote>
  <w:footnote w:id="79">
    <w:p w14:paraId="3C753A58" w14:textId="77777777" w:rsidR="00876AA0" w:rsidRPr="00AF07E5" w:rsidRDefault="00876AA0" w:rsidP="00AF07E5">
      <w:pPr>
        <w:pStyle w:val="RTFootnotetext"/>
      </w:pPr>
      <w:r w:rsidRPr="00AF07E5">
        <w:footnoteRef/>
      </w:r>
      <w:r w:rsidRPr="00AF07E5">
        <w:t xml:space="preserve"> </w:t>
      </w:r>
      <w:proofErr w:type="gramStart"/>
      <w:r w:rsidRPr="00AF07E5">
        <w:t>Report of the Working Group on the issue of discrimination against women in law and in practice, on its mission to the United States.</w:t>
      </w:r>
      <w:proofErr w:type="gramEnd"/>
      <w:r w:rsidRPr="00AF07E5">
        <w:t xml:space="preserve"> June 7 2016 UN Doc. A/HRC/32/44/Add.2.</w:t>
      </w:r>
    </w:p>
  </w:footnote>
  <w:footnote w:id="80">
    <w:p w14:paraId="784C1AE8" w14:textId="22D6E9DC" w:rsidR="00876AA0" w:rsidRPr="00AF07E5" w:rsidRDefault="00876AA0" w:rsidP="00AF07E5">
      <w:pPr>
        <w:pStyle w:val="RTFootnotetext"/>
      </w:pPr>
      <w:r w:rsidRPr="00AF07E5">
        <w:footnoteRef/>
      </w:r>
      <w:r w:rsidRPr="00AF07E5">
        <w:t xml:space="preserve"> The Commonwealth Fund Health System Data Center </w:t>
      </w:r>
      <w:hyperlink r:id="rId32" w:anchor="ind=1/sc" w:history="1">
        <w:r w:rsidRPr="00AF07E5">
          <w:rPr>
            <w:rStyle w:val="Hyperlink"/>
            <w:color w:val="000000" w:themeColor="text1"/>
            <w:u w:val="none"/>
          </w:rPr>
          <w:t>http://datacenter.commonwealthfund.org/#ind=1/sc</w:t>
        </w:r>
      </w:hyperlink>
      <w:r w:rsidRPr="00AF07E5">
        <w:t xml:space="preserve">= </w:t>
      </w:r>
    </w:p>
  </w:footnote>
  <w:footnote w:id="81">
    <w:p w14:paraId="6EBEC4A5" w14:textId="77777777" w:rsidR="00876AA0" w:rsidRPr="007C5B60" w:rsidRDefault="00876AA0" w:rsidP="005A2312">
      <w:pPr>
        <w:pStyle w:val="RTFootnotetext"/>
      </w:pPr>
      <w:r w:rsidRPr="007C5B60">
        <w:rPr>
          <w:rStyle w:val="FootnoteReference"/>
          <w:vertAlign w:val="baseline"/>
        </w:rPr>
        <w:footnoteRef/>
      </w:r>
      <w:r w:rsidRPr="007C5B60">
        <w:t xml:space="preserve"> K. Bridges, “Pregnancy, Medicaid, State Regulation, and the Production of Unruly Bodies,” in Northwestern Journal of Law and Social Policy, Volume 3, Issue 1.</w:t>
      </w:r>
    </w:p>
  </w:footnote>
  <w:footnote w:id="82">
    <w:p w14:paraId="19423EDE" w14:textId="03DD08E8" w:rsidR="00876AA0" w:rsidRPr="00AF07E5" w:rsidRDefault="00876AA0" w:rsidP="00AF07E5">
      <w:pPr>
        <w:pStyle w:val="RTFootnotetext"/>
      </w:pPr>
      <w:r w:rsidRPr="00AF07E5">
        <w:footnoteRef/>
      </w:r>
      <w:r w:rsidRPr="00AF07E5">
        <w:t xml:space="preserve"> U.S. Centers for Disease Control, Pregnancy Mortality Surveillance System, </w:t>
      </w:r>
      <w:hyperlink r:id="rId33" w:history="1">
        <w:r w:rsidRPr="00AF07E5">
          <w:rPr>
            <w:rStyle w:val="Hyperlink"/>
            <w:color w:val="000000" w:themeColor="text1"/>
            <w:u w:val="none"/>
          </w:rPr>
          <w:t>www.cdc.gov/reproductivehealth/maternalinfanthealth/pmss.html</w:t>
        </w:r>
      </w:hyperlink>
      <w:r w:rsidRPr="00AF07E5">
        <w:t xml:space="preserve">; Center for Reproductive Rights, Black Mamas Matter: A Toolkit for Advancing the Human Right to Safe and Respectful Maternal </w:t>
      </w:r>
      <w:r>
        <w:t>Healthcare</w:t>
      </w:r>
      <w:r w:rsidRPr="00AF07E5">
        <w:t xml:space="preserve">, </w:t>
      </w:r>
      <w:hyperlink r:id="rId34" w:history="1">
        <w:r w:rsidRPr="00AF07E5">
          <w:rPr>
            <w:rStyle w:val="Hyperlink"/>
            <w:color w:val="000000" w:themeColor="text1"/>
            <w:u w:val="none"/>
          </w:rPr>
          <w:t>https://www.reproductiverights.org/document/black-mamas-matter-toolkit-for-advancing-human-right-to-safe-respectful-maternal-health-care</w:t>
        </w:r>
      </w:hyperlink>
      <w:r w:rsidRPr="00AF07E5">
        <w:t xml:space="preserve"> </w:t>
      </w:r>
    </w:p>
  </w:footnote>
  <w:footnote w:id="83">
    <w:p w14:paraId="1D727BF4" w14:textId="77777777" w:rsidR="00876AA0" w:rsidRPr="00AF07E5" w:rsidRDefault="00876AA0" w:rsidP="00AF07E5">
      <w:pPr>
        <w:pStyle w:val="RTFootnotetext"/>
      </w:pPr>
      <w:r w:rsidRPr="00AF07E5">
        <w:footnoteRef/>
      </w:r>
      <w:r w:rsidRPr="00AF07E5">
        <w:t xml:space="preserve"> </w:t>
      </w:r>
      <w:proofErr w:type="gramStart"/>
      <w:r w:rsidRPr="00AF07E5">
        <w:t>Concluding Observations of the Committee on the Elimination of Racial Discrimination: United States, 72d Sess., para.</w:t>
      </w:r>
      <w:proofErr w:type="gramEnd"/>
      <w:r w:rsidRPr="00AF07E5">
        <w:t xml:space="preserve"> </w:t>
      </w:r>
      <w:proofErr w:type="gramStart"/>
      <w:r w:rsidRPr="00AF07E5">
        <w:t>33, U.N. Doc. CERD/C/USA/CO/6 (2008).</w:t>
      </w:r>
      <w:proofErr w:type="gramEnd"/>
    </w:p>
  </w:footnote>
  <w:footnote w:id="84">
    <w:p w14:paraId="16D2FBD4" w14:textId="77777777" w:rsidR="00876AA0" w:rsidRPr="00B42837" w:rsidRDefault="00876AA0" w:rsidP="00151DF6">
      <w:pPr>
        <w:pStyle w:val="RTFootnotetext"/>
      </w:pPr>
      <w:r w:rsidRPr="00B42837">
        <w:footnoteRef/>
      </w:r>
      <w:r w:rsidRPr="00B42837">
        <w:t xml:space="preserve"> Center for Reproductive Rights, Reproductive Injustice: Racial and Gender Discrimination in US Health Care, 2014.</w:t>
      </w:r>
    </w:p>
  </w:footnote>
  <w:footnote w:id="85">
    <w:p w14:paraId="4C0A070C" w14:textId="51AB503F" w:rsidR="00876AA0" w:rsidRPr="00AF07E5" w:rsidRDefault="00876AA0" w:rsidP="00AF07E5">
      <w:pPr>
        <w:pStyle w:val="RTFootnotetext"/>
      </w:pPr>
      <w:r w:rsidRPr="00AF07E5">
        <w:footnoteRef/>
      </w:r>
      <w:r w:rsidRPr="00AF07E5">
        <w:t xml:space="preserve"> Amnesty International USA, Deadly Delivery: The Maternal </w:t>
      </w:r>
      <w:r>
        <w:t>Healthcare</w:t>
      </w:r>
      <w:r w:rsidRPr="00AF07E5">
        <w:t xml:space="preserve"> Crisis in the USA (Index: AMR: 51/007/2010)</w:t>
      </w:r>
      <w:r>
        <w:t>.</w:t>
      </w:r>
    </w:p>
  </w:footnote>
  <w:footnote w:id="86">
    <w:p w14:paraId="37BD352C" w14:textId="5C3379D2" w:rsidR="00876AA0" w:rsidRPr="00AF07E5" w:rsidRDefault="00876AA0" w:rsidP="005926B1">
      <w:pPr>
        <w:pStyle w:val="RTFootnotetext"/>
      </w:pPr>
      <w:r w:rsidRPr="00AF07E5">
        <w:footnoteRef/>
      </w:r>
      <w:r w:rsidRPr="00AF07E5">
        <w:t xml:space="preserve"> Michele Goodwin, </w:t>
      </w:r>
      <w:r>
        <w:t>‘</w:t>
      </w:r>
      <w:r w:rsidRPr="00AF07E5">
        <w:t>Fetal Protection Laws: Moral Panic and the New Constitutional Battlefront</w:t>
      </w:r>
      <w:r>
        <w:t>’,</w:t>
      </w:r>
      <w:r w:rsidRPr="008145DD">
        <w:t xml:space="preserve"> </w:t>
      </w:r>
      <w:r>
        <w:t>Vol 102: Number 4, August 2014.</w:t>
      </w:r>
    </w:p>
  </w:footnote>
  <w:footnote w:id="87">
    <w:p w14:paraId="70AD9C58" w14:textId="343261EB" w:rsidR="00876AA0" w:rsidRPr="00AF07E5" w:rsidRDefault="00876AA0" w:rsidP="00AF07E5">
      <w:pPr>
        <w:pStyle w:val="RTFootnotetext"/>
      </w:pPr>
      <w:r w:rsidRPr="00AF07E5">
        <w:footnoteRef/>
      </w:r>
      <w:r w:rsidRPr="00AF07E5">
        <w:t xml:space="preserve"> C. Miller, A. Lanham, C. Welsh, S. </w:t>
      </w:r>
      <w:proofErr w:type="spellStart"/>
      <w:r w:rsidRPr="00AF07E5">
        <w:t>Ramanadhan</w:t>
      </w:r>
      <w:proofErr w:type="spellEnd"/>
      <w:r w:rsidRPr="00AF07E5">
        <w:t xml:space="preserve"> &amp; M. </w:t>
      </w:r>
      <w:proofErr w:type="spellStart"/>
      <w:r w:rsidRPr="00AF07E5">
        <w:t>Terplan</w:t>
      </w:r>
      <w:proofErr w:type="spellEnd"/>
      <w:r w:rsidRPr="00AF07E5">
        <w:t xml:space="preserve"> </w:t>
      </w:r>
      <w:r>
        <w:t>‘</w:t>
      </w:r>
      <w:r w:rsidRPr="00AF07E5">
        <w:t>Screening, Testing, and Reporting for Drug and</w:t>
      </w:r>
    </w:p>
    <w:p w14:paraId="4F53C11F" w14:textId="6DF664B2" w:rsidR="00876AA0" w:rsidRPr="00AF07E5" w:rsidRDefault="00876AA0" w:rsidP="00AF07E5">
      <w:pPr>
        <w:pStyle w:val="RTFootnotetext"/>
      </w:pPr>
      <w:r w:rsidRPr="00AF07E5">
        <w:t>Alcohol Use on Labor and Delivery: A Survey of Maryland Birthing Hospitals</w:t>
      </w:r>
      <w:r>
        <w:t>’, Social Work in Healthcare</w:t>
      </w:r>
      <w:r w:rsidRPr="00AF07E5">
        <w:t>, 53:7, 659-669, 2014.</w:t>
      </w:r>
    </w:p>
  </w:footnote>
  <w:footnote w:id="88">
    <w:p w14:paraId="27C754A2" w14:textId="355FA24B" w:rsidR="00876AA0" w:rsidRDefault="00876AA0" w:rsidP="001F0D99">
      <w:pPr>
        <w:pStyle w:val="RTFootnotetext"/>
      </w:pPr>
      <w:r w:rsidRPr="00DF4B80">
        <w:footnoteRef/>
      </w:r>
      <w:r w:rsidRPr="00DF4B80">
        <w:t xml:space="preserve"> B</w:t>
      </w:r>
      <w:r>
        <w:t>.</w:t>
      </w:r>
      <w:r w:rsidRPr="00DF4B80">
        <w:t>D</w:t>
      </w:r>
      <w:r>
        <w:t>.</w:t>
      </w:r>
      <w:r w:rsidRPr="00DF4B80">
        <w:t xml:space="preserve"> </w:t>
      </w:r>
      <w:proofErr w:type="spellStart"/>
      <w:r w:rsidRPr="00DF4B80">
        <w:t>Kerker</w:t>
      </w:r>
      <w:proofErr w:type="spellEnd"/>
      <w:r w:rsidRPr="00DF4B80">
        <w:t>, S</w:t>
      </w:r>
      <w:r>
        <w:t>.</w:t>
      </w:r>
      <w:r w:rsidRPr="00DF4B80">
        <w:t>M</w:t>
      </w:r>
      <w:r>
        <w:t>.</w:t>
      </w:r>
      <w:r w:rsidRPr="00DF4B80">
        <w:t xml:space="preserve"> Horowitz, J</w:t>
      </w:r>
      <w:r>
        <w:t>.</w:t>
      </w:r>
      <w:r w:rsidRPr="00DF4B80">
        <w:t>M</w:t>
      </w:r>
      <w:r>
        <w:t>.</w:t>
      </w:r>
      <w:r w:rsidRPr="00DF4B80">
        <w:t xml:space="preserve"> </w:t>
      </w:r>
      <w:proofErr w:type="spellStart"/>
      <w:r w:rsidRPr="00DF4B80">
        <w:t>Leventhal</w:t>
      </w:r>
      <w:proofErr w:type="spellEnd"/>
      <w:r w:rsidRPr="00DF4B80">
        <w:t xml:space="preserve">, </w:t>
      </w:r>
      <w:r>
        <w:t>‘</w:t>
      </w:r>
      <w:r w:rsidRPr="00DF4B80">
        <w:t>Patients' characteristics and providers' attitudes: predictors of screening pregnant women for illicit substance use</w:t>
      </w:r>
      <w:r>
        <w:t>’,</w:t>
      </w:r>
      <w:r w:rsidRPr="00DF4B80">
        <w:t xml:space="preserve"> Child Abuse an</w:t>
      </w:r>
      <w:r>
        <w:t>d Neglect, 28(2):209-233, 2004.</w:t>
      </w:r>
    </w:p>
  </w:footnote>
  <w:footnote w:id="89">
    <w:p w14:paraId="2506A30B" w14:textId="7E65A3EE" w:rsidR="00876AA0" w:rsidRPr="00AF07E5" w:rsidRDefault="00876AA0" w:rsidP="00AF07E5">
      <w:pPr>
        <w:pStyle w:val="RTFootnotetext"/>
      </w:pPr>
      <w:r w:rsidRPr="00AF07E5">
        <w:footnoteRef/>
      </w:r>
      <w:r w:rsidRPr="00AF07E5">
        <w:t xml:space="preserve"> H</w:t>
      </w:r>
      <w:r>
        <w:t>.</w:t>
      </w:r>
      <w:r w:rsidRPr="00AF07E5">
        <w:t xml:space="preserve"> </w:t>
      </w:r>
      <w:proofErr w:type="spellStart"/>
      <w:r w:rsidRPr="00AF07E5">
        <w:t>Kunins</w:t>
      </w:r>
      <w:proofErr w:type="spellEnd"/>
      <w:r w:rsidRPr="00AF07E5">
        <w:t xml:space="preserve"> and others, </w:t>
      </w:r>
      <w:r>
        <w:t>‘</w:t>
      </w:r>
      <w:r w:rsidRPr="00AF07E5">
        <w:t xml:space="preserve">The Effect of Race on Provider Decisions to Test for Illicit Drug Use in the </w:t>
      </w:r>
      <w:proofErr w:type="spellStart"/>
      <w:r w:rsidRPr="00AF07E5">
        <w:t>Peripartum</w:t>
      </w:r>
      <w:proofErr w:type="spellEnd"/>
      <w:r w:rsidRPr="00AF07E5">
        <w:t xml:space="preserve"> Setting</w:t>
      </w:r>
      <w:r>
        <w:t>’,</w:t>
      </w:r>
      <w:r w:rsidRPr="00AF07E5">
        <w:t xml:space="preserve"> Journal of Women’s Health, March 2007, </w:t>
      </w:r>
      <w:hyperlink r:id="rId35" w:history="1">
        <w:r w:rsidRPr="00AF07E5">
          <w:rPr>
            <w:rStyle w:val="Hyperlink"/>
            <w:color w:val="000000" w:themeColor="text1"/>
            <w:u w:val="none"/>
          </w:rPr>
          <w:t>www.ncbi.nlm.nih.gov/pmc/articles/PMC2859171/</w:t>
        </w:r>
      </w:hyperlink>
      <w:r w:rsidRPr="00AF07E5">
        <w:t>; B</w:t>
      </w:r>
      <w:r>
        <w:t>.</w:t>
      </w:r>
      <w:r w:rsidRPr="00AF07E5">
        <w:t>D</w:t>
      </w:r>
      <w:r>
        <w:t>.</w:t>
      </w:r>
      <w:r w:rsidRPr="00AF07E5">
        <w:t xml:space="preserve"> </w:t>
      </w:r>
      <w:proofErr w:type="spellStart"/>
      <w:r w:rsidRPr="00AF07E5">
        <w:t>Kerker</w:t>
      </w:r>
      <w:proofErr w:type="spellEnd"/>
      <w:r w:rsidRPr="00AF07E5">
        <w:t>, S</w:t>
      </w:r>
      <w:r>
        <w:t>.</w:t>
      </w:r>
      <w:r w:rsidRPr="00AF07E5">
        <w:t>M</w:t>
      </w:r>
      <w:r>
        <w:t>.</w:t>
      </w:r>
      <w:r w:rsidRPr="00AF07E5">
        <w:t xml:space="preserve"> Horowitz, J</w:t>
      </w:r>
      <w:r>
        <w:t>.</w:t>
      </w:r>
      <w:r w:rsidRPr="00AF07E5">
        <w:t>M</w:t>
      </w:r>
      <w:r>
        <w:t>.</w:t>
      </w:r>
      <w:r w:rsidRPr="00AF07E5">
        <w:t xml:space="preserve"> </w:t>
      </w:r>
      <w:proofErr w:type="spellStart"/>
      <w:r w:rsidRPr="00AF07E5">
        <w:t>Leventhal</w:t>
      </w:r>
      <w:proofErr w:type="spellEnd"/>
      <w:r w:rsidRPr="00AF07E5">
        <w:t xml:space="preserve">, </w:t>
      </w:r>
      <w:r>
        <w:t>‘</w:t>
      </w:r>
      <w:r w:rsidRPr="00AF07E5">
        <w:t>Patients' characteristics and providers' attitudes: predictors of screening pregnant women for illicit substance use</w:t>
      </w:r>
      <w:r>
        <w:t>’,</w:t>
      </w:r>
      <w:r w:rsidRPr="00AF07E5">
        <w:t xml:space="preserve"> Child Abuse and Neglect, 28(2):209-233, 2004.</w:t>
      </w:r>
    </w:p>
  </w:footnote>
  <w:footnote w:id="90">
    <w:p w14:paraId="0AA9AED2" w14:textId="4F8B59AC" w:rsidR="00876AA0" w:rsidRPr="00AF07E5" w:rsidRDefault="00876AA0" w:rsidP="00AF07E5">
      <w:pPr>
        <w:pStyle w:val="RTFootnotetext"/>
      </w:pPr>
      <w:r w:rsidRPr="00AF07E5">
        <w:footnoteRef/>
      </w:r>
      <w:r w:rsidRPr="00AF07E5">
        <w:t xml:space="preserve"> H</w:t>
      </w:r>
      <w:r>
        <w:t>.</w:t>
      </w:r>
      <w:r w:rsidRPr="00AF07E5">
        <w:t xml:space="preserve"> </w:t>
      </w:r>
      <w:proofErr w:type="spellStart"/>
      <w:r w:rsidRPr="00AF07E5">
        <w:t>Kunins</w:t>
      </w:r>
      <w:proofErr w:type="spellEnd"/>
      <w:r w:rsidRPr="00AF07E5">
        <w:t xml:space="preserve"> and others, </w:t>
      </w:r>
      <w:r>
        <w:t>‘</w:t>
      </w:r>
      <w:r w:rsidRPr="00AF07E5">
        <w:t xml:space="preserve">The Effect of Race on Provider Decisions to Test for Illicit Drug Use in the </w:t>
      </w:r>
      <w:proofErr w:type="spellStart"/>
      <w:r w:rsidRPr="00AF07E5">
        <w:t>Peripartum</w:t>
      </w:r>
      <w:proofErr w:type="spellEnd"/>
      <w:r w:rsidRPr="00AF07E5">
        <w:t xml:space="preserve"> Setting</w:t>
      </w:r>
      <w:r>
        <w:t>’,</w:t>
      </w:r>
      <w:r w:rsidRPr="00AF07E5">
        <w:t xml:space="preserve"> Journal of Women’s Health, March 2007, www.ncbi.nlm.nih.gov/pmc/articles/PMC2859171/</w:t>
      </w:r>
    </w:p>
  </w:footnote>
  <w:footnote w:id="91">
    <w:p w14:paraId="2AA46F41" w14:textId="74000AE2" w:rsidR="00876AA0" w:rsidRPr="00AF07E5" w:rsidRDefault="00876AA0" w:rsidP="00AF07E5">
      <w:pPr>
        <w:pStyle w:val="RTFootnotetext"/>
      </w:pPr>
      <w:r w:rsidRPr="00AF07E5">
        <w:footnoteRef/>
      </w:r>
      <w:r w:rsidRPr="00AF07E5">
        <w:t xml:space="preserve"> I</w:t>
      </w:r>
      <w:r>
        <w:t>.</w:t>
      </w:r>
      <w:r w:rsidRPr="00AF07E5">
        <w:t>J</w:t>
      </w:r>
      <w:r>
        <w:t>.</w:t>
      </w:r>
      <w:r w:rsidRPr="00AF07E5">
        <w:t xml:space="preserve"> </w:t>
      </w:r>
      <w:proofErr w:type="spellStart"/>
      <w:r w:rsidRPr="00AF07E5">
        <w:t>Chasnoff</w:t>
      </w:r>
      <w:proofErr w:type="spellEnd"/>
      <w:r w:rsidRPr="00AF07E5">
        <w:t>, H</w:t>
      </w:r>
      <w:r>
        <w:t>.</w:t>
      </w:r>
      <w:r w:rsidRPr="00AF07E5">
        <w:t>J</w:t>
      </w:r>
      <w:r>
        <w:t>.</w:t>
      </w:r>
      <w:r w:rsidRPr="00AF07E5">
        <w:t xml:space="preserve"> </w:t>
      </w:r>
      <w:proofErr w:type="spellStart"/>
      <w:r w:rsidRPr="00AF07E5">
        <w:t>Landress</w:t>
      </w:r>
      <w:proofErr w:type="spellEnd"/>
      <w:r w:rsidRPr="00AF07E5">
        <w:t>, M</w:t>
      </w:r>
      <w:r>
        <w:t>.</w:t>
      </w:r>
      <w:r w:rsidRPr="00AF07E5">
        <w:t>E</w:t>
      </w:r>
      <w:r>
        <w:t>.</w:t>
      </w:r>
      <w:r w:rsidRPr="00AF07E5">
        <w:t xml:space="preserve"> Barrett</w:t>
      </w:r>
      <w:r>
        <w:t>,</w:t>
      </w:r>
      <w:r w:rsidRPr="00AF07E5">
        <w:t xml:space="preserve"> The prevalence of illicit-drug or alcohol use during pregnancy and discrepancies in mandatory reporting in Pinellas County, Florida, New England Journal of Medicine 1990; 322:1202; </w:t>
      </w:r>
      <w:r>
        <w:t>a</w:t>
      </w:r>
      <w:r w:rsidRPr="00AF07E5">
        <w:t>lso see D</w:t>
      </w:r>
      <w:r>
        <w:t>.</w:t>
      </w:r>
      <w:r w:rsidRPr="00AF07E5">
        <w:t>R</w:t>
      </w:r>
      <w:r>
        <w:t>.</w:t>
      </w:r>
      <w:r w:rsidRPr="00AF07E5">
        <w:t xml:space="preserve"> </w:t>
      </w:r>
      <w:proofErr w:type="spellStart"/>
      <w:r w:rsidRPr="00AF07E5">
        <w:t>Neuspiel</w:t>
      </w:r>
      <w:proofErr w:type="spellEnd"/>
      <w:r w:rsidRPr="00AF07E5">
        <w:t>, T</w:t>
      </w:r>
      <w:r>
        <w:t>.</w:t>
      </w:r>
      <w:r w:rsidRPr="00AF07E5">
        <w:t>M</w:t>
      </w:r>
      <w:r>
        <w:t>.</w:t>
      </w:r>
      <w:r w:rsidRPr="00AF07E5">
        <w:t xml:space="preserve"> </w:t>
      </w:r>
      <w:proofErr w:type="spellStart"/>
      <w:r w:rsidRPr="00AF07E5">
        <w:t>Zingman</w:t>
      </w:r>
      <w:proofErr w:type="spellEnd"/>
      <w:r w:rsidRPr="00AF07E5">
        <w:t>, V</w:t>
      </w:r>
      <w:r>
        <w:t>.</w:t>
      </w:r>
      <w:r w:rsidRPr="00AF07E5">
        <w:t>H</w:t>
      </w:r>
      <w:r>
        <w:t>.</w:t>
      </w:r>
      <w:r w:rsidRPr="00AF07E5">
        <w:t xml:space="preserve"> Templeton, P</w:t>
      </w:r>
      <w:r>
        <w:t>.</w:t>
      </w:r>
      <w:r w:rsidRPr="00AF07E5">
        <w:t xml:space="preserve"> </w:t>
      </w:r>
      <w:proofErr w:type="spellStart"/>
      <w:r w:rsidRPr="00AF07E5">
        <w:t>DiStabile</w:t>
      </w:r>
      <w:proofErr w:type="spellEnd"/>
      <w:r w:rsidRPr="00AF07E5">
        <w:t>, E</w:t>
      </w:r>
      <w:r>
        <w:t>.</w:t>
      </w:r>
      <w:r w:rsidRPr="00AF07E5">
        <w:t xml:space="preserve"> Drucker</w:t>
      </w:r>
      <w:r>
        <w:t>,</w:t>
      </w:r>
      <w:r w:rsidRPr="00AF07E5">
        <w:t xml:space="preserve"> Custody of cocaine-exposed newborns: Determinants of discharge decisions. American Journal of Public Health 1993; 83:1726.</w:t>
      </w:r>
    </w:p>
  </w:footnote>
  <w:footnote w:id="92">
    <w:p w14:paraId="4A0BA242" w14:textId="64861CDB" w:rsidR="00876AA0" w:rsidRPr="007C5B60" w:rsidRDefault="00876AA0" w:rsidP="005A2312">
      <w:pPr>
        <w:pStyle w:val="RTFootnotetext"/>
      </w:pPr>
      <w:r w:rsidRPr="007C5B60">
        <w:rPr>
          <w:rStyle w:val="FootnoteReference"/>
          <w:vertAlign w:val="baseline"/>
        </w:rPr>
        <w:footnoteRef/>
      </w:r>
      <w:r w:rsidRPr="007C5B60">
        <w:t xml:space="preserve"> For example, the South Carolina Health &amp; Human Services "Screening, Brief Intervention and Referral to Treatment" (SBIRT) program provides doctors with reimbursement to perform standardized screening of pregnant women receiving Medicaid benefits; See K. M. Bridges, “Pregnancy, Medicaid, State Regulation, and the Production of Unruly Bodies,” Northwestern Journal of Law &amp; Social Policy,” Vol. 3,Issue 1, Winter 2008</w:t>
      </w:r>
      <w:r w:rsidR="001D35EE">
        <w:t>.</w:t>
      </w:r>
    </w:p>
  </w:footnote>
  <w:footnote w:id="93">
    <w:p w14:paraId="3B5C8C6D" w14:textId="77777777" w:rsidR="00876AA0" w:rsidRPr="007C5B60" w:rsidRDefault="00876AA0" w:rsidP="005A2312">
      <w:pPr>
        <w:pStyle w:val="RTFootnotetext"/>
      </w:pPr>
      <w:r w:rsidRPr="007C5B60">
        <w:rPr>
          <w:rStyle w:val="FootnoteReference"/>
          <w:vertAlign w:val="baseline"/>
        </w:rPr>
        <w:footnoteRef/>
      </w:r>
      <w:r w:rsidRPr="007C5B60">
        <w:t xml:space="preserve"> American Congress of Obstetricians and Gynecologists, “Toolkit on State Legislation: Pregnant Women and Prescription Drug Abuse, Dependence and Addiction”, </w:t>
      </w:r>
      <w:hyperlink r:id="rId36" w:history="1">
        <w:r w:rsidRPr="007C5B60">
          <w:rPr>
            <w:rStyle w:val="Hyperlink"/>
            <w:color w:val="000000" w:themeColor="text1"/>
            <w:u w:val="none"/>
          </w:rPr>
          <w:t>www.acog.org/-/media/Departments/Government-Relations-and-Outreach/NASToolkit.pdf</w:t>
        </w:r>
      </w:hyperlink>
      <w:r w:rsidRPr="007C5B60">
        <w:t xml:space="preserve"> The American Congress of Obstetricians and Gynecologists is a companion organization to the American College of Obstetricians and Gynecologists and focuses on socioeconomic and political activities. </w:t>
      </w:r>
    </w:p>
  </w:footnote>
  <w:footnote w:id="94">
    <w:p w14:paraId="014CD69A" w14:textId="77777777" w:rsidR="00876AA0" w:rsidRPr="00AF07E5" w:rsidRDefault="00876AA0" w:rsidP="00AF07E5">
      <w:pPr>
        <w:pStyle w:val="RTFootnotetext"/>
      </w:pPr>
      <w:r w:rsidRPr="00AF07E5">
        <w:footnoteRef/>
      </w:r>
      <w:r w:rsidRPr="00AF07E5">
        <w:t xml:space="preserve"> The international drug control regime is based on the Single Convention on Narcotic Drugs (</w:t>
      </w:r>
      <w:proofErr w:type="gramStart"/>
      <w:r w:rsidRPr="00AF07E5">
        <w:t>1961,</w:t>
      </w:r>
      <w:proofErr w:type="gramEnd"/>
      <w:r w:rsidRPr="00AF07E5">
        <w:t xml:space="preserve"> and subsequently amended by the Protocol of 1972), the Convention on Psychotropic Substances (1971) and the UN Convention against Illicit Traffic in Narcotic Drugs and Psychotropic Substances (1988).</w:t>
      </w:r>
    </w:p>
  </w:footnote>
  <w:footnote w:id="95">
    <w:p w14:paraId="7BD17815" w14:textId="4E2CC00B" w:rsidR="00876AA0" w:rsidRPr="00AF07E5" w:rsidRDefault="00876AA0" w:rsidP="00AF07E5">
      <w:pPr>
        <w:pStyle w:val="RTFootnotetext"/>
      </w:pPr>
      <w:r w:rsidRPr="00AF07E5">
        <w:footnoteRef/>
      </w:r>
      <w:r w:rsidRPr="00AF07E5">
        <w:t xml:space="preserve"> United Nations Office on Drugs and Crime, </w:t>
      </w:r>
      <w:r>
        <w:t>‘</w:t>
      </w:r>
      <w:r w:rsidRPr="00AF07E5">
        <w:t>World Drug Report 2015</w:t>
      </w:r>
      <w:r>
        <w:t>’</w:t>
      </w:r>
      <w:r w:rsidRPr="00AF07E5">
        <w:t>, May 2015</w:t>
      </w:r>
      <w:r>
        <w:t>.</w:t>
      </w:r>
    </w:p>
  </w:footnote>
  <w:footnote w:id="96">
    <w:p w14:paraId="2DF8A8EE" w14:textId="247F5C27" w:rsidR="00876AA0" w:rsidRPr="00AF07E5" w:rsidRDefault="00876AA0" w:rsidP="00AF07E5">
      <w:pPr>
        <w:pStyle w:val="RTFootnotetext"/>
      </w:pPr>
      <w:r w:rsidRPr="00AF07E5">
        <w:footnoteRef/>
      </w:r>
      <w:r w:rsidRPr="00AF07E5">
        <w:t xml:space="preserve"> See National Advocates for Pregnant Women, </w:t>
      </w:r>
      <w:r>
        <w:t>‘</w:t>
      </w:r>
      <w:r w:rsidRPr="00AF07E5">
        <w:t>UNGASS 2016 Women’s Declaration</w:t>
      </w:r>
      <w:r>
        <w:t>’,</w:t>
      </w:r>
      <w:r w:rsidRPr="00112BE4">
        <w:t xml:space="preserve"> www.ungasswomen2016.com</w:t>
      </w:r>
      <w:r w:rsidRPr="00AF07E5">
        <w:t>; K</w:t>
      </w:r>
      <w:r>
        <w:t>.</w:t>
      </w:r>
      <w:r w:rsidRPr="00AF07E5">
        <w:t xml:space="preserve"> </w:t>
      </w:r>
      <w:proofErr w:type="spellStart"/>
      <w:r w:rsidRPr="00AF07E5">
        <w:t>Malinowska-Sempruch</w:t>
      </w:r>
      <w:proofErr w:type="spellEnd"/>
      <w:r w:rsidRPr="00AF07E5">
        <w:t xml:space="preserve"> and O</w:t>
      </w:r>
      <w:r>
        <w:t>.</w:t>
      </w:r>
      <w:r w:rsidRPr="00AF07E5">
        <w:t xml:space="preserve"> </w:t>
      </w:r>
      <w:proofErr w:type="spellStart"/>
      <w:r w:rsidRPr="00AF07E5">
        <w:t>Rychkova</w:t>
      </w:r>
      <w:proofErr w:type="spellEnd"/>
      <w:r w:rsidRPr="00AF07E5">
        <w:t xml:space="preserve">, The Impact of Drug Policy on Women, Open Society Foundations, </w:t>
      </w:r>
      <w:proofErr w:type="gramStart"/>
      <w:r w:rsidRPr="00AF07E5">
        <w:t>May</w:t>
      </w:r>
      <w:proofErr w:type="gramEnd"/>
      <w:r w:rsidRPr="00AF07E5">
        <w:t xml:space="preserve"> 2015.</w:t>
      </w:r>
    </w:p>
  </w:footnote>
  <w:footnote w:id="97">
    <w:p w14:paraId="377575AC" w14:textId="31E17DB3" w:rsidR="00876AA0" w:rsidRPr="00AF07E5" w:rsidRDefault="00876AA0" w:rsidP="00AF07E5">
      <w:pPr>
        <w:pStyle w:val="RTFootnotetext"/>
      </w:pPr>
      <w:r w:rsidRPr="00AF07E5">
        <w:footnoteRef/>
      </w:r>
      <w:r w:rsidRPr="00AF07E5">
        <w:t xml:space="preserve"> L. C. </w:t>
      </w:r>
      <w:proofErr w:type="spellStart"/>
      <w:r w:rsidRPr="00AF07E5">
        <w:t>Fentiman</w:t>
      </w:r>
      <w:proofErr w:type="spellEnd"/>
      <w:r w:rsidRPr="00AF07E5">
        <w:t xml:space="preserve"> </w:t>
      </w:r>
      <w:r>
        <w:t>‘</w:t>
      </w:r>
      <w:proofErr w:type="gramStart"/>
      <w:r w:rsidRPr="00AF07E5">
        <w:t>The</w:t>
      </w:r>
      <w:proofErr w:type="gramEnd"/>
      <w:r w:rsidRPr="00AF07E5">
        <w:t xml:space="preserve"> New ‘Fetal Protection’: The Wrong Answer to the Crisis of Inadequate </w:t>
      </w:r>
      <w:r>
        <w:t>Health Care</w:t>
      </w:r>
      <w:r w:rsidRPr="00AF07E5">
        <w:t xml:space="preserve"> for Women and Children</w:t>
      </w:r>
      <w:r>
        <w:t>’,</w:t>
      </w:r>
      <w:r w:rsidRPr="00AF07E5">
        <w:t xml:space="preserve"> Denver University Law Review Vol. 84:2, 2006.</w:t>
      </w:r>
    </w:p>
  </w:footnote>
  <w:footnote w:id="98">
    <w:p w14:paraId="30301EB4" w14:textId="77777777" w:rsidR="00876AA0" w:rsidRPr="00B5083F" w:rsidRDefault="00876AA0" w:rsidP="004E2AF9">
      <w:pPr>
        <w:pStyle w:val="RTFootnotetext"/>
      </w:pPr>
      <w:r w:rsidRPr="00AF07E5">
        <w:footnoteRef/>
      </w:r>
      <w:r w:rsidRPr="00AF07E5">
        <w:t xml:space="preserve"> Interview, Josh </w:t>
      </w:r>
      <w:proofErr w:type="spellStart"/>
      <w:r w:rsidRPr="00AF07E5">
        <w:t>Spickler</w:t>
      </w:r>
      <w:proofErr w:type="spellEnd"/>
      <w:r w:rsidRPr="00AF07E5">
        <w:t>, Public Defender, Memphis, TN, 20 January 2015.</w:t>
      </w:r>
      <w:r>
        <w:t xml:space="preserve"> </w:t>
      </w:r>
      <w:r w:rsidRPr="002867CB">
        <w:t xml:space="preserve"> </w:t>
      </w:r>
    </w:p>
  </w:footnote>
  <w:footnote w:id="99">
    <w:p w14:paraId="4116A35A" w14:textId="1398A069" w:rsidR="00876AA0" w:rsidRPr="00AF07E5" w:rsidRDefault="00876AA0" w:rsidP="004E2AF9">
      <w:pPr>
        <w:pStyle w:val="RTFootnotetext"/>
      </w:pPr>
      <w:r w:rsidRPr="00AF07E5">
        <w:footnoteRef/>
      </w:r>
      <w:r w:rsidRPr="00AF07E5">
        <w:t xml:space="preserve"> Joanne </w:t>
      </w:r>
      <w:proofErr w:type="spellStart"/>
      <w:r w:rsidRPr="00AF07E5">
        <w:t>Csete</w:t>
      </w:r>
      <w:proofErr w:type="spellEnd"/>
      <w:r w:rsidRPr="00AF07E5">
        <w:t xml:space="preserve"> and Denise </w:t>
      </w:r>
      <w:proofErr w:type="spellStart"/>
      <w:r w:rsidRPr="00AF07E5">
        <w:t>Tomasini</w:t>
      </w:r>
      <w:proofErr w:type="spellEnd"/>
      <w:r w:rsidRPr="00AF07E5">
        <w:t xml:space="preserve">-Joshi, </w:t>
      </w:r>
      <w:r>
        <w:t>‘</w:t>
      </w:r>
      <w:r w:rsidRPr="00AF07E5">
        <w:t>Drug Courts: Equivocal evidence on a popular intervention</w:t>
      </w:r>
      <w:r>
        <w:t>’</w:t>
      </w:r>
      <w:r w:rsidRPr="00AF07E5">
        <w:t>, Open Society Foundations, 2015.</w:t>
      </w:r>
    </w:p>
  </w:footnote>
  <w:footnote w:id="100">
    <w:p w14:paraId="1C8583DF" w14:textId="52870AAE" w:rsidR="00876AA0" w:rsidRPr="00AF07E5" w:rsidRDefault="00876AA0" w:rsidP="004E2AF9">
      <w:pPr>
        <w:pStyle w:val="RTFootnotetext"/>
      </w:pPr>
      <w:r w:rsidRPr="00AF07E5">
        <w:footnoteRef/>
      </w:r>
      <w:r w:rsidRPr="00AF07E5">
        <w:t xml:space="preserve"> See: National Institute of Justice</w:t>
      </w:r>
      <w:r>
        <w:t>,</w:t>
      </w:r>
      <w:r w:rsidRPr="00AF07E5">
        <w:t xml:space="preserve"> www.nij.gov/topics/corrections/community/pages/welcome.aspx </w:t>
      </w:r>
    </w:p>
  </w:footnote>
  <w:footnote w:id="101">
    <w:p w14:paraId="4920C320" w14:textId="01A900A1" w:rsidR="00876AA0" w:rsidRPr="00AF07E5" w:rsidRDefault="00876AA0" w:rsidP="004E2AF9">
      <w:pPr>
        <w:pStyle w:val="RTFootnotetext"/>
      </w:pPr>
      <w:r w:rsidRPr="00AF07E5">
        <w:footnoteRef/>
      </w:r>
      <w:r w:rsidRPr="00AF07E5">
        <w:t xml:space="preserve"> M</w:t>
      </w:r>
      <w:r>
        <w:t>.</w:t>
      </w:r>
      <w:r w:rsidRPr="00AF07E5">
        <w:t>B. Hoffman</w:t>
      </w:r>
      <w:r>
        <w:t>,</w:t>
      </w:r>
      <w:r w:rsidRPr="00AF07E5">
        <w:t xml:space="preserve"> </w:t>
      </w:r>
      <w:r>
        <w:t>‘</w:t>
      </w:r>
      <w:r w:rsidRPr="00AF07E5">
        <w:t>Therapeutic jurisprudence, neo-</w:t>
      </w:r>
      <w:proofErr w:type="spellStart"/>
      <w:r w:rsidRPr="00AF07E5">
        <w:t>rehabilitationism</w:t>
      </w:r>
      <w:proofErr w:type="spellEnd"/>
      <w:r w:rsidRPr="00AF07E5">
        <w:t>, and judicial collectivism: the least dangerous branch becomes most dangerous</w:t>
      </w:r>
      <w:r>
        <w:t>’,</w:t>
      </w:r>
      <w:r w:rsidRPr="00AF07E5">
        <w:t xml:space="preserve"> in Fordham Urban Law Journal, New York 2002.</w:t>
      </w:r>
    </w:p>
  </w:footnote>
  <w:footnote w:id="102">
    <w:p w14:paraId="08EA768C" w14:textId="3F0DDF13" w:rsidR="00876AA0" w:rsidRPr="00AF07E5" w:rsidRDefault="00876AA0" w:rsidP="004E2AF9">
      <w:pPr>
        <w:pStyle w:val="RTFootnotetext"/>
      </w:pPr>
      <w:r w:rsidRPr="00AF07E5">
        <w:footnoteRef/>
      </w:r>
      <w:r w:rsidRPr="00AF07E5">
        <w:t xml:space="preserve"> Other countries that have established drug courts include the United Kingdom, Australia, Chile, Brazil and Jamaica. For more information about the history and development of drug courts, see D</w:t>
      </w:r>
      <w:r>
        <w:t>.</w:t>
      </w:r>
      <w:r w:rsidRPr="00AF07E5">
        <w:t>E</w:t>
      </w:r>
      <w:r>
        <w:t>.</w:t>
      </w:r>
      <w:r w:rsidRPr="00AF07E5">
        <w:t xml:space="preserve"> Guzman. Drug courts: Scope and challenges of an alternative to incarceration. International Drug Policy Consortium in collaboration with </w:t>
      </w:r>
      <w:proofErr w:type="spellStart"/>
      <w:r w:rsidRPr="00AF07E5">
        <w:t>DeJuSticia</w:t>
      </w:r>
      <w:proofErr w:type="spellEnd"/>
      <w:r w:rsidRPr="00AF07E5">
        <w:t>. May 2012.</w:t>
      </w:r>
    </w:p>
  </w:footnote>
  <w:footnote w:id="103">
    <w:p w14:paraId="25D29D1F" w14:textId="1A4CD8EB" w:rsidR="00876AA0" w:rsidRPr="00AF07E5" w:rsidRDefault="00876AA0" w:rsidP="004E2AF9">
      <w:pPr>
        <w:pStyle w:val="RTFootnotetext"/>
      </w:pPr>
      <w:r w:rsidRPr="00AF07E5">
        <w:footnoteRef/>
      </w:r>
      <w:r w:rsidRPr="00AF07E5">
        <w:t xml:space="preserve"> Etowah County Community Corrections Website, </w:t>
      </w:r>
      <w:r w:rsidRPr="00112BE4">
        <w:t>http://etowahcorrections.com/3t0wah/</w:t>
      </w:r>
      <w:r w:rsidRPr="00AF07E5">
        <w:t xml:space="preserve">; Gadsden Times, Court Referral Service Defends Location, </w:t>
      </w:r>
      <w:hyperlink r:id="rId37" w:history="1">
        <w:r w:rsidRPr="00AF07E5">
          <w:rPr>
            <w:rStyle w:val="Hyperlink"/>
            <w:color w:val="000000" w:themeColor="text1"/>
            <w:u w:val="none"/>
          </w:rPr>
          <w:t>www.gadsdentimes.com/news/20110413/court-referral-service-defends-location</w:t>
        </w:r>
      </w:hyperlink>
      <w:r w:rsidRPr="00AF07E5">
        <w:t xml:space="preserve">; also Interview with Attorney Brian White; S. </w:t>
      </w:r>
      <w:proofErr w:type="spellStart"/>
      <w:r w:rsidRPr="00AF07E5">
        <w:t>Dewan</w:t>
      </w:r>
      <w:proofErr w:type="spellEnd"/>
      <w:r w:rsidRPr="00AF07E5">
        <w:t xml:space="preserve"> and A. </w:t>
      </w:r>
      <w:proofErr w:type="spellStart"/>
      <w:r w:rsidRPr="00AF07E5">
        <w:t>Lehren</w:t>
      </w:r>
      <w:proofErr w:type="spellEnd"/>
      <w:r w:rsidRPr="00AF07E5">
        <w:t xml:space="preserve"> ‘Alabama Prosecutor Sets the Penalties and Fills the Coffers’ New York Times, </w:t>
      </w:r>
      <w:r>
        <w:t xml:space="preserve">13 </w:t>
      </w:r>
      <w:r w:rsidRPr="00AF07E5">
        <w:t xml:space="preserve">December 2016, </w:t>
      </w:r>
      <w:hyperlink r:id="rId38" w:history="1">
        <w:r w:rsidRPr="00AF07E5">
          <w:rPr>
            <w:rStyle w:val="Hyperlink"/>
            <w:color w:val="000000" w:themeColor="text1"/>
            <w:u w:val="none"/>
          </w:rPr>
          <w:t>www.nytimes.com/2016/12/13/us/alabama-prosecutor-valeska-criminal-justice-reform.html</w:t>
        </w:r>
      </w:hyperlink>
      <w:r w:rsidRPr="00AF07E5">
        <w:t xml:space="preserve"> </w:t>
      </w:r>
    </w:p>
  </w:footnote>
  <w:footnote w:id="104">
    <w:p w14:paraId="1BE273F3" w14:textId="614EA4C0" w:rsidR="00876AA0" w:rsidRPr="00AF07E5" w:rsidRDefault="00876AA0" w:rsidP="004E2AF9">
      <w:pPr>
        <w:pStyle w:val="RTFootnotetext"/>
      </w:pPr>
      <w:r w:rsidRPr="00AF07E5">
        <w:footnoteRef/>
      </w:r>
      <w:r w:rsidRPr="00AF07E5">
        <w:t xml:space="preserve"> E. L. </w:t>
      </w:r>
      <w:proofErr w:type="spellStart"/>
      <w:r w:rsidRPr="00AF07E5">
        <w:t>Sevigny</w:t>
      </w:r>
      <w:proofErr w:type="spellEnd"/>
      <w:r w:rsidRPr="00AF07E5">
        <w:t xml:space="preserve"> </w:t>
      </w:r>
      <w:proofErr w:type="gramStart"/>
      <w:r w:rsidRPr="00AF07E5">
        <w:t>et</w:t>
      </w:r>
      <w:proofErr w:type="gramEnd"/>
      <w:r w:rsidRPr="00AF07E5">
        <w:t xml:space="preserve">. al., </w:t>
      </w:r>
      <w:r>
        <w:t>‘</w:t>
      </w:r>
      <w:r w:rsidRPr="00AF07E5">
        <w:t xml:space="preserve">Do drug courts reduce the use of incarceration? </w:t>
      </w:r>
      <w:proofErr w:type="gramStart"/>
      <w:r w:rsidRPr="00AF07E5">
        <w:t>A meta-analysis</w:t>
      </w:r>
      <w:r>
        <w:t>’,</w:t>
      </w:r>
      <w:r w:rsidRPr="00AF07E5">
        <w:t xml:space="preserve"> in Journal of Criminal Justice, December 2013.</w:t>
      </w:r>
      <w:proofErr w:type="gramEnd"/>
    </w:p>
  </w:footnote>
  <w:footnote w:id="105">
    <w:p w14:paraId="5986E1E8" w14:textId="2726D4E8" w:rsidR="00876AA0" w:rsidRPr="00AF07E5" w:rsidRDefault="00876AA0" w:rsidP="004E2AF9">
      <w:pPr>
        <w:pStyle w:val="RTFootnotetext"/>
      </w:pPr>
      <w:r w:rsidRPr="00AF07E5">
        <w:footnoteRef/>
      </w:r>
      <w:r w:rsidRPr="00AF07E5">
        <w:t xml:space="preserve"> Joanne </w:t>
      </w:r>
      <w:proofErr w:type="spellStart"/>
      <w:r w:rsidRPr="00AF07E5">
        <w:t>Csete</w:t>
      </w:r>
      <w:proofErr w:type="spellEnd"/>
      <w:r w:rsidRPr="00AF07E5">
        <w:t xml:space="preserve"> </w:t>
      </w:r>
      <w:proofErr w:type="gramStart"/>
      <w:r w:rsidRPr="00AF07E5">
        <w:t>et</w:t>
      </w:r>
      <w:proofErr w:type="gramEnd"/>
      <w:r w:rsidRPr="00AF07E5">
        <w:t xml:space="preserve">. </w:t>
      </w:r>
      <w:proofErr w:type="gramStart"/>
      <w:r w:rsidRPr="00AF07E5">
        <w:t xml:space="preserve">al., </w:t>
      </w:r>
      <w:r>
        <w:t>‘</w:t>
      </w:r>
      <w:r w:rsidRPr="00AF07E5">
        <w:t>Public Health and international drug policy</w:t>
      </w:r>
      <w:r>
        <w:t>’,</w:t>
      </w:r>
      <w:r w:rsidRPr="00AF07E5">
        <w:t xml:space="preserve"> in The Lancet.</w:t>
      </w:r>
      <w:proofErr w:type="gramEnd"/>
      <w:r w:rsidRPr="00AF07E5">
        <w:t xml:space="preserve"> </w:t>
      </w:r>
      <w:proofErr w:type="gramStart"/>
      <w:r w:rsidRPr="00AF07E5">
        <w:t>April, 2016 pp. 1456; Report of the Special Rapporteur on the right of everyone to the enjoyment of the highest attainable standard of physical and mental health, 6 August 2010, UN Doc.</w:t>
      </w:r>
      <w:proofErr w:type="gramEnd"/>
      <w:r w:rsidRPr="00AF07E5">
        <w:t xml:space="preserve"> </w:t>
      </w:r>
      <w:proofErr w:type="gramStart"/>
      <w:r w:rsidRPr="00AF07E5">
        <w:t>A/65/255</w:t>
      </w:r>
      <w:r>
        <w:t>.</w:t>
      </w:r>
      <w:proofErr w:type="gramEnd"/>
    </w:p>
  </w:footnote>
  <w:footnote w:id="106">
    <w:p w14:paraId="269556B4" w14:textId="1C29669B" w:rsidR="00876AA0" w:rsidRPr="00AF07E5" w:rsidRDefault="00876AA0" w:rsidP="004E2AF9">
      <w:pPr>
        <w:pStyle w:val="RTFootnotetext"/>
      </w:pPr>
      <w:r w:rsidRPr="00AF07E5">
        <w:footnoteRef/>
      </w:r>
      <w:r w:rsidRPr="00AF07E5">
        <w:t xml:space="preserve"> Report of the Special Rapporteur on the right of everyone to the enjoyment of the highest attainable standard of physical and mental health: Mission to Azerbaijan, 3 May 2013, UN Doc. A/HRC/23/41/Add.1, para. 55; Committee on Economic, Social and Cultural Rights (12 June 2009), </w:t>
      </w:r>
      <w:proofErr w:type="gramStart"/>
      <w:r w:rsidRPr="00AF07E5">
        <w:t>Concluding</w:t>
      </w:r>
      <w:proofErr w:type="gramEnd"/>
      <w:r w:rsidRPr="00AF07E5">
        <w:t xml:space="preserve"> Observations: Cambodia, UN Doc. E/C.12/KHM/CO/1, para. </w:t>
      </w:r>
      <w:proofErr w:type="gramStart"/>
      <w:r w:rsidRPr="00AF07E5">
        <w:t xml:space="preserve">33; World Health Organization, </w:t>
      </w:r>
      <w:r>
        <w:t>‘</w:t>
      </w:r>
      <w:r w:rsidRPr="00AF07E5">
        <w:t>Assessment of Compulsory Treatment of People Who Use Drugs in Cambodia, China, Malaysia and Viet Nam</w:t>
      </w:r>
      <w:r>
        <w:t>’</w:t>
      </w:r>
      <w:r w:rsidRPr="00AF07E5">
        <w:t>, 2009, p. 3.</w:t>
      </w:r>
      <w:proofErr w:type="gramEnd"/>
    </w:p>
  </w:footnote>
  <w:footnote w:id="107">
    <w:p w14:paraId="4A2BED90" w14:textId="3B585513" w:rsidR="00876AA0" w:rsidRPr="00543647" w:rsidRDefault="00876AA0" w:rsidP="004E2AF9">
      <w:pPr>
        <w:pStyle w:val="RTFootnotetext"/>
        <w:rPr>
          <w:lang w:val="en-GB"/>
        </w:rPr>
      </w:pPr>
      <w:r w:rsidRPr="00AF07E5">
        <w:footnoteRef/>
      </w:r>
      <w:r w:rsidRPr="00AF07E5">
        <w:t xml:space="preserve"> National Association of Criminal Defense Lawyers, </w:t>
      </w:r>
      <w:r>
        <w:t>‘</w:t>
      </w:r>
      <w:r w:rsidRPr="00AF07E5">
        <w:t>America’s Problem-Solving Courts: The Criminal Costs of Treatment and the Case for Reform</w:t>
      </w:r>
      <w:r>
        <w:t>’,</w:t>
      </w:r>
      <w:r w:rsidRPr="00AF07E5">
        <w:t xml:space="preserve"> September 2009, ; Drug Policy Alliance, </w:t>
      </w:r>
      <w:r>
        <w:t>‘</w:t>
      </w:r>
      <w:r w:rsidRPr="00AF07E5">
        <w:t>Drug Courts Are Not the Answer: Toward a Health-Centered-Approach to Drug Use</w:t>
      </w:r>
      <w:r>
        <w:t>’,</w:t>
      </w:r>
      <w:r w:rsidRPr="00AF07E5">
        <w:t xml:space="preserve"> 2011, </w:t>
      </w:r>
      <w:hyperlink r:id="rId39" w:history="1">
        <w:r w:rsidRPr="00AF07E5">
          <w:rPr>
            <w:rStyle w:val="Hyperlink"/>
            <w:color w:val="000000" w:themeColor="text1"/>
            <w:u w:val="none"/>
          </w:rPr>
          <w:t>www.drugpolicy.org/docUploads/Drug_Courts_Are_Not_the_Answer_Final2.pdf</w:t>
        </w:r>
      </w:hyperlink>
      <w:r w:rsidRPr="00AF07E5">
        <w:t xml:space="preserve"> </w:t>
      </w:r>
    </w:p>
  </w:footnote>
  <w:footnote w:id="108">
    <w:p w14:paraId="491C71B4" w14:textId="77777777" w:rsidR="00876AA0" w:rsidRPr="00BF2DC7" w:rsidRDefault="00876AA0" w:rsidP="00BF2DC7">
      <w:pPr>
        <w:pStyle w:val="RTFootnotetext"/>
      </w:pPr>
      <w:r w:rsidRPr="00BF2DC7">
        <w:footnoteRef/>
      </w:r>
      <w:r w:rsidRPr="00BF2DC7">
        <w:t xml:space="preserve">  </w:t>
      </w:r>
      <w:proofErr w:type="gramStart"/>
      <w:r w:rsidRPr="00BF2DC7">
        <w:t>Tennessee Code Section 39-13-107 (2015).</w:t>
      </w:r>
      <w:proofErr w:type="gramEnd"/>
      <w:r w:rsidRPr="00BF2DC7">
        <w:t xml:space="preserve"> </w:t>
      </w:r>
      <w:proofErr w:type="gramStart"/>
      <w:r w:rsidRPr="00BF2DC7">
        <w:t>Fetus as victim.</w:t>
      </w:r>
      <w:proofErr w:type="gramEnd"/>
      <w:r w:rsidRPr="00BF2DC7">
        <w:t xml:space="preserve"> </w:t>
      </w:r>
    </w:p>
    <w:p w14:paraId="6342E014" w14:textId="77777777" w:rsidR="00876AA0" w:rsidRPr="00BF2DC7" w:rsidRDefault="00876AA0" w:rsidP="00BF2DC7">
      <w:pPr>
        <w:pStyle w:val="RTFootnotetext"/>
      </w:pPr>
      <w:r w:rsidRPr="00BF2DC7">
        <w:t xml:space="preserve">(a) For the purposes of this part, "another," "individuals," and "another person" include a human embryo or fetus at any stage of gestation in utero, when any such term refers to the victim of any act made criminal by this part. </w:t>
      </w:r>
    </w:p>
    <w:p w14:paraId="179B495E" w14:textId="77777777" w:rsidR="00876AA0" w:rsidRPr="00BF2DC7" w:rsidRDefault="00876AA0" w:rsidP="00BF2DC7">
      <w:pPr>
        <w:pStyle w:val="RTFootnotetext"/>
      </w:pPr>
      <w:r w:rsidRPr="00BF2DC7">
        <w:t xml:space="preserve">(b) Nothing in this section shall be construed to amend the provisions of § 39-15-201, or §§ 39-15-203 -- 39-15-205 and 39-15-207. </w:t>
      </w:r>
    </w:p>
    <w:p w14:paraId="3B5A566B" w14:textId="0F5E6AC3" w:rsidR="00876AA0" w:rsidRPr="00BF2DC7" w:rsidRDefault="00876AA0" w:rsidP="00BF2DC7">
      <w:pPr>
        <w:pStyle w:val="RTFootnotetext"/>
      </w:pPr>
      <w:r w:rsidRPr="00BF2DC7">
        <w:t xml:space="preserve">(c) (1) Nothing in subsection (a) shall apply to any lawful act or lawful omission by a pregnant woman with respect to an embryo or fetus with which she is pregnant, or to any lawful medical or surgical procedure to which a pregnant woman consents, performed by a health care professional who is licensed to perform such procedure. </w:t>
      </w:r>
    </w:p>
    <w:p w14:paraId="13B2145A" w14:textId="77777777" w:rsidR="00876AA0" w:rsidRPr="00BF2DC7" w:rsidRDefault="00876AA0" w:rsidP="00BF2DC7">
      <w:pPr>
        <w:pStyle w:val="RTFootnotetext"/>
      </w:pPr>
      <w:r w:rsidRPr="00BF2DC7">
        <w:t>(2) Notwithstanding subdivision (c</w:t>
      </w:r>
      <w:proofErr w:type="gramStart"/>
      <w:r w:rsidRPr="00BF2DC7">
        <w:t>)(</w:t>
      </w:r>
      <w:proofErr w:type="gramEnd"/>
      <w:r w:rsidRPr="00BF2DC7">
        <w:t xml:space="preserve">1), nothing in this section shall preclude prosecution of a woman for assault under § 39-13-101 for the illegal use of a narcotic drug, as defined in § 39-17-402, while pregnant, if her child is born addicted to or harmed by the narcotic drug and the addiction or harm is a result of her illegal use of a narcotic drug taken while pregnant. </w:t>
      </w:r>
    </w:p>
    <w:p w14:paraId="31C36D21" w14:textId="77777777" w:rsidR="00876AA0" w:rsidRPr="00BF2DC7" w:rsidRDefault="00876AA0" w:rsidP="00BF2DC7">
      <w:pPr>
        <w:pStyle w:val="RTFootnotetext"/>
      </w:pPr>
      <w:r w:rsidRPr="00BF2DC7">
        <w:t>(3) It is an affirmative defense to a prosecution permitted by subdivision (c)(2) that the woman actively enrolled in an addiction recovery program before the child is born, remained in the program after delivery, and successfully completed the program, regardless of whether the child was born addicted to or harmed by the narcotic drug.</w:t>
      </w:r>
    </w:p>
  </w:footnote>
  <w:footnote w:id="109">
    <w:p w14:paraId="313E59D0" w14:textId="6E141BBA" w:rsidR="00876AA0" w:rsidRPr="004D456B" w:rsidRDefault="00876AA0" w:rsidP="00BF2DC7">
      <w:pPr>
        <w:pStyle w:val="RTFootnotetext"/>
        <w:rPr>
          <w:lang w:val="fr-CA"/>
        </w:rPr>
      </w:pPr>
      <w:r w:rsidRPr="00BF2DC7">
        <w:footnoteRef/>
      </w:r>
      <w:r w:rsidRPr="004D456B">
        <w:rPr>
          <w:lang w:val="fr-CA"/>
        </w:rPr>
        <w:t xml:space="preserve"> </w:t>
      </w:r>
      <w:proofErr w:type="spellStart"/>
      <w:r w:rsidRPr="004D456B">
        <w:rPr>
          <w:lang w:val="fr-CA"/>
        </w:rPr>
        <w:t>Tenn</w:t>
      </w:r>
      <w:proofErr w:type="spellEnd"/>
      <w:r w:rsidRPr="004D456B">
        <w:rPr>
          <w:lang w:val="fr-CA"/>
        </w:rPr>
        <w:t>. Code Ann. § 39-13-107(c)(2) (2015).</w:t>
      </w:r>
    </w:p>
  </w:footnote>
  <w:footnote w:id="110">
    <w:p w14:paraId="40085DB3" w14:textId="34327450" w:rsidR="00876AA0" w:rsidRPr="00DD736D" w:rsidRDefault="00876AA0" w:rsidP="00BF2DC7">
      <w:pPr>
        <w:pStyle w:val="RTFootnotetext"/>
      </w:pPr>
      <w:r w:rsidRPr="00BF2DC7">
        <w:footnoteRef/>
      </w:r>
      <w:r w:rsidRPr="004D456B">
        <w:rPr>
          <w:lang w:val="fr-CA"/>
        </w:rPr>
        <w:t xml:space="preserve"> </w:t>
      </w:r>
      <w:proofErr w:type="spellStart"/>
      <w:r w:rsidRPr="004D456B">
        <w:rPr>
          <w:lang w:val="fr-CA"/>
        </w:rPr>
        <w:t>Tenn</w:t>
      </w:r>
      <w:proofErr w:type="spellEnd"/>
      <w:r w:rsidRPr="004D456B">
        <w:rPr>
          <w:lang w:val="fr-CA"/>
        </w:rPr>
        <w:t xml:space="preserve">. </w:t>
      </w:r>
      <w:r w:rsidRPr="00F14B73">
        <w:t xml:space="preserve">Code Ann. </w:t>
      </w:r>
      <w:r w:rsidRPr="00BF2DC7">
        <w:t>§ 39-13-107(2) (2015)</w:t>
      </w:r>
      <w:r>
        <w:t>,</w:t>
      </w:r>
      <w:r w:rsidRPr="00BF2DC7">
        <w:t xml:space="preserve"> </w:t>
      </w:r>
      <w:hyperlink r:id="rId40" w:history="1">
        <w:r w:rsidRPr="00BF2DC7">
          <w:rPr>
            <w:rStyle w:val="Hyperlink"/>
            <w:color w:val="000000" w:themeColor="text1"/>
            <w:u w:val="none"/>
          </w:rPr>
          <w:t>https://apps.tn.gov/carat/pdf/tnchild-39-13-107.pdf</w:t>
        </w:r>
      </w:hyperlink>
      <w:r w:rsidRPr="00BF2DC7">
        <w:t xml:space="preserve">; </w:t>
      </w:r>
      <w:proofErr w:type="gramStart"/>
      <w:r w:rsidRPr="00BF2DC7">
        <w:t>The</w:t>
      </w:r>
      <w:proofErr w:type="gramEnd"/>
      <w:r w:rsidRPr="00BF2DC7">
        <w:t xml:space="preserve"> framing of a fetus as a potential victim of a crime is salient. For example, in November, 2014, a pregnant woman in Greene County in Northeastern Tennessee was charged with “felony reckless endangerment” after being pursued by police after a traffic stop. Such a charge requires interpreting a pregnant woman to be committing an offense against “another person.” See Tennessee Code Annotated </w:t>
      </w:r>
      <w:hyperlink r:id="rId41" w:history="1">
        <w:r w:rsidRPr="00BF2DC7">
          <w:t xml:space="preserve"> § 39-13-103 (2014)</w:t>
        </w:r>
      </w:hyperlink>
      <w:r w:rsidRPr="00BF2DC7">
        <w:t xml:space="preserve"> Reckless endangerment (a) “A person commits an offense who recklessly engages in conduct that places or may place another person in imminent danger of death or serious bodily injury.”</w:t>
      </w:r>
    </w:p>
  </w:footnote>
  <w:footnote w:id="111">
    <w:p w14:paraId="43A88E0D" w14:textId="77777777" w:rsidR="00876AA0" w:rsidRPr="003A264E" w:rsidRDefault="00876AA0" w:rsidP="003A264E">
      <w:pPr>
        <w:pStyle w:val="RTFootnotetext"/>
      </w:pPr>
      <w:r w:rsidRPr="003A264E">
        <w:footnoteRef/>
      </w:r>
      <w:r w:rsidRPr="003A264E">
        <w:t xml:space="preserve"> </w:t>
      </w:r>
      <w:proofErr w:type="gramStart"/>
      <w:r w:rsidRPr="003A264E">
        <w:t>Interview, Government official, Tennessee Department of Mental Health and Substance Abuse, March 2015.</w:t>
      </w:r>
      <w:proofErr w:type="gramEnd"/>
    </w:p>
  </w:footnote>
  <w:footnote w:id="112">
    <w:p w14:paraId="345E5048" w14:textId="40135A29" w:rsidR="00876AA0" w:rsidRPr="003A264E" w:rsidRDefault="00876AA0" w:rsidP="003A264E">
      <w:pPr>
        <w:pStyle w:val="RTFootnotetext"/>
      </w:pPr>
      <w:r w:rsidRPr="003A264E">
        <w:footnoteRef/>
      </w:r>
      <w:r w:rsidRPr="003A264E">
        <w:t xml:space="preserve"> </w:t>
      </w:r>
      <w:proofErr w:type="gramStart"/>
      <w:r w:rsidRPr="00EC36EB">
        <w:t xml:space="preserve">Zac </w:t>
      </w:r>
      <w:proofErr w:type="spellStart"/>
      <w:r w:rsidRPr="00EC36EB">
        <w:t>Talbott</w:t>
      </w:r>
      <w:proofErr w:type="spellEnd"/>
      <w:r w:rsidRPr="00EC36EB">
        <w:t xml:space="preserve">, Director of the East and Middle Tennessee Chapter of the National Alliance for Medication Assisted Recovery, </w:t>
      </w:r>
      <w:r>
        <w:t xml:space="preserve">2 </w:t>
      </w:r>
      <w:r w:rsidRPr="00EC36EB">
        <w:t>October 2015</w:t>
      </w:r>
      <w:r>
        <w:t>.</w:t>
      </w:r>
      <w:proofErr w:type="gramEnd"/>
    </w:p>
  </w:footnote>
  <w:footnote w:id="113">
    <w:p w14:paraId="213A9F8B" w14:textId="4176B860" w:rsidR="00876AA0" w:rsidRPr="003A264E" w:rsidRDefault="00876AA0" w:rsidP="003A264E">
      <w:pPr>
        <w:pStyle w:val="RTFootnotetext"/>
      </w:pPr>
      <w:r w:rsidRPr="003A264E">
        <w:footnoteRef/>
      </w:r>
      <w:r w:rsidRPr="003A264E">
        <w:t xml:space="preserve"> Stephen Patrick interview, 29 January 2015, Nashville, TN</w:t>
      </w:r>
      <w:r>
        <w:t>.</w:t>
      </w:r>
    </w:p>
  </w:footnote>
  <w:footnote w:id="114">
    <w:p w14:paraId="6107529D" w14:textId="77777777" w:rsidR="00876AA0" w:rsidRPr="003A264E" w:rsidRDefault="00876AA0" w:rsidP="003A264E">
      <w:pPr>
        <w:pStyle w:val="RTFootnotetext"/>
      </w:pPr>
      <w:r w:rsidRPr="003A264E">
        <w:footnoteRef/>
      </w:r>
      <w:r w:rsidRPr="003A264E">
        <w:t xml:space="preserve"> </w:t>
      </w:r>
      <w:proofErr w:type="gramStart"/>
      <w:r w:rsidRPr="003A264E">
        <w:t>Survey of District Attorneys prepared by Commissioned Bill Gibbons of the Department of Safety &amp; Homeland Security.</w:t>
      </w:r>
      <w:proofErr w:type="gramEnd"/>
      <w:r w:rsidRPr="003A264E">
        <w:t xml:space="preserve"> This survey is not comprehensive, as only 27 of the 31 district attorneys responded, and it only covers cases initiated for prosecution from the law’s enactment on April 24, 2014 until December 31, 2014.</w:t>
      </w:r>
    </w:p>
  </w:footnote>
  <w:footnote w:id="115">
    <w:p w14:paraId="70F936EF" w14:textId="0EA4E0C1" w:rsidR="00876AA0" w:rsidRPr="003A264E" w:rsidRDefault="00876AA0" w:rsidP="003A264E">
      <w:pPr>
        <w:pStyle w:val="RTFootnotetext"/>
      </w:pPr>
      <w:r w:rsidRPr="003A264E">
        <w:footnoteRef/>
      </w:r>
      <w:r w:rsidRPr="003A264E">
        <w:t xml:space="preserve"> Survey of District Attorneys prepared by Commissioned Bill Gibbons of the Department of Safety &amp; Homeland Security</w:t>
      </w:r>
      <w:r>
        <w:t>,</w:t>
      </w:r>
      <w:r w:rsidRPr="003A264E">
        <w:t xml:space="preserve"> www.documentcloud.org/documents/1873320-survey-of-district-attorneys-general.html </w:t>
      </w:r>
    </w:p>
  </w:footnote>
  <w:footnote w:id="116">
    <w:p w14:paraId="23BD703A" w14:textId="77777777" w:rsidR="00876AA0" w:rsidRPr="003A264E" w:rsidRDefault="00876AA0" w:rsidP="003A264E">
      <w:pPr>
        <w:pStyle w:val="RTFootnotetext"/>
      </w:pPr>
      <w:r w:rsidRPr="003A264E">
        <w:footnoteRef/>
      </w:r>
      <w:r w:rsidRPr="003A264E">
        <w:t xml:space="preserve"> Healthy and Free Tennessee Meeting, Memphis, TN, 19 January 2015.</w:t>
      </w:r>
    </w:p>
  </w:footnote>
  <w:footnote w:id="117">
    <w:p w14:paraId="0A5D83BE" w14:textId="5649A9D0" w:rsidR="00876AA0" w:rsidRPr="003A264E" w:rsidRDefault="00876AA0" w:rsidP="003A264E">
      <w:pPr>
        <w:pStyle w:val="RTFootnotetext"/>
      </w:pPr>
      <w:r w:rsidRPr="003A264E">
        <w:footnoteRef/>
      </w:r>
      <w:r w:rsidRPr="003A264E">
        <w:t xml:space="preserve"> United States Census Bureau, State &amp; County </w:t>
      </w:r>
      <w:proofErr w:type="spellStart"/>
      <w:r w:rsidRPr="003A264E">
        <w:t>FastFacts</w:t>
      </w:r>
      <w:proofErr w:type="spellEnd"/>
      <w:r w:rsidRPr="003A264E">
        <w:t xml:space="preserve">, </w:t>
      </w:r>
      <w:r w:rsidRPr="00EF650C">
        <w:t>www.census.gov/quickfacts/table/PST045216/00</w:t>
      </w:r>
    </w:p>
  </w:footnote>
  <w:footnote w:id="118">
    <w:p w14:paraId="4093C719" w14:textId="19E8C795" w:rsidR="00876AA0" w:rsidRPr="003A264E" w:rsidRDefault="00876AA0" w:rsidP="003A264E">
      <w:pPr>
        <w:pStyle w:val="RTFootnotetext"/>
      </w:pPr>
      <w:r w:rsidRPr="003A264E">
        <w:footnoteRef/>
      </w:r>
      <w:r w:rsidRPr="003A264E">
        <w:t xml:space="preserve"> United States Census Bureau, State &amp; County </w:t>
      </w:r>
      <w:proofErr w:type="spellStart"/>
      <w:r w:rsidRPr="003A264E">
        <w:t>FastFacts</w:t>
      </w:r>
      <w:proofErr w:type="spellEnd"/>
      <w:r w:rsidRPr="003A264E">
        <w:t xml:space="preserve">, </w:t>
      </w:r>
      <w:hyperlink r:id="rId42" w:history="1">
        <w:r w:rsidRPr="00EF650C">
          <w:rPr>
            <w:rStyle w:val="Hyperlink"/>
            <w:u w:val="none"/>
          </w:rPr>
          <w:t>www.census.gov/quickfacts/table/PST045216/00</w:t>
        </w:r>
      </w:hyperlink>
      <w:r w:rsidRPr="003A264E">
        <w:t xml:space="preserve">  </w:t>
      </w:r>
    </w:p>
  </w:footnote>
  <w:footnote w:id="119">
    <w:p w14:paraId="0049D0F8" w14:textId="6304787D" w:rsidR="00876AA0" w:rsidRPr="003A264E" w:rsidRDefault="00876AA0" w:rsidP="003A264E">
      <w:pPr>
        <w:pStyle w:val="RTFootnotetext"/>
      </w:pPr>
      <w:r w:rsidRPr="003A264E">
        <w:footnoteRef/>
      </w:r>
      <w:r w:rsidRPr="003A264E">
        <w:t xml:space="preserve"> See Population Reference Bureau, “The Social and Economic Isolation of Urban African Americans”, www.prb.org/Publications/Articles/2005/TheSocialandEconomicIsolationofUrbanAfricanAmericans.aspx</w:t>
      </w:r>
    </w:p>
  </w:footnote>
  <w:footnote w:id="120">
    <w:p w14:paraId="2AE26721" w14:textId="77777777" w:rsidR="00876AA0" w:rsidRPr="003A264E" w:rsidRDefault="00876AA0" w:rsidP="003A264E">
      <w:pPr>
        <w:pStyle w:val="RTFootnotetext"/>
      </w:pPr>
      <w:r w:rsidRPr="003A264E">
        <w:footnoteRef/>
      </w:r>
      <w:r w:rsidRPr="003A264E">
        <w:t xml:space="preserve"> Healthy Memphis Common Table, Status Report to Advance Health Equity in Clinical Care and Health Outcomes in Memphis and Shelby County, Tennessee, May 2011.</w:t>
      </w:r>
    </w:p>
  </w:footnote>
  <w:footnote w:id="121">
    <w:p w14:paraId="4A9B16D6" w14:textId="3A20B267" w:rsidR="00876AA0" w:rsidRPr="00F35BC4" w:rsidRDefault="00876AA0" w:rsidP="003A264E">
      <w:pPr>
        <w:pStyle w:val="RTFootnotetext"/>
      </w:pPr>
      <w:r w:rsidRPr="003A264E">
        <w:footnoteRef/>
      </w:r>
      <w:r w:rsidRPr="003A264E">
        <w:t xml:space="preserve"> M Willard, </w:t>
      </w:r>
      <w:r>
        <w:t>‘</w:t>
      </w:r>
      <w:r w:rsidRPr="003A264E">
        <w:t>Lawmakers Consider Jailing Mothers of Babies Born Drug-Addicted</w:t>
      </w:r>
      <w:r>
        <w:t>’,</w:t>
      </w:r>
      <w:r w:rsidRPr="003A264E">
        <w:t xml:space="preserve"> TN Report, http://tnreport.com/2013/10/30/legislation-aims-at-combating-epidemic-of-drug-addicted-babies/</w:t>
      </w:r>
    </w:p>
  </w:footnote>
  <w:footnote w:id="122">
    <w:p w14:paraId="535FF20E" w14:textId="3CD8B62F" w:rsidR="00876AA0" w:rsidRPr="00F35BC4" w:rsidRDefault="00876AA0" w:rsidP="003A264E">
      <w:pPr>
        <w:pStyle w:val="FootnoteText"/>
      </w:pPr>
      <w:r w:rsidRPr="00F35BC4">
        <w:footnoteRef/>
      </w:r>
      <w:r w:rsidRPr="00F35BC4">
        <w:t xml:space="preserve"> </w:t>
      </w:r>
      <w:r w:rsidRPr="006F45AE">
        <w:t>Tennessee Code Annotated 39-13-107. Fetus as victim</w:t>
      </w:r>
      <w:r>
        <w:t xml:space="preserve">, </w:t>
      </w:r>
      <w:r w:rsidRPr="006F45AE">
        <w:t>https://apps.tn.gov/</w:t>
      </w:r>
      <w:r>
        <w:t>carat/pdf/tnchild-39-13-107.pdf</w:t>
      </w:r>
    </w:p>
  </w:footnote>
  <w:footnote w:id="123">
    <w:p w14:paraId="22D5E369" w14:textId="77777777" w:rsidR="00876AA0" w:rsidRPr="003A264E" w:rsidRDefault="00876AA0" w:rsidP="003A264E">
      <w:pPr>
        <w:pStyle w:val="RTFootnotetext"/>
      </w:pPr>
      <w:r w:rsidRPr="003A264E">
        <w:footnoteRef/>
      </w:r>
      <w:r w:rsidRPr="003A264E">
        <w:t xml:space="preserve"> Information collected by Josh </w:t>
      </w:r>
      <w:proofErr w:type="spellStart"/>
      <w:r w:rsidRPr="003A264E">
        <w:t>Spickler</w:t>
      </w:r>
      <w:proofErr w:type="spellEnd"/>
      <w:r w:rsidRPr="003A264E">
        <w:t>, Executive Director, Just City, a criminal justice reform organization in Memphis.</w:t>
      </w:r>
    </w:p>
  </w:footnote>
  <w:footnote w:id="124">
    <w:p w14:paraId="4C765390" w14:textId="6FAFC6E0" w:rsidR="00876AA0" w:rsidRPr="003A264E" w:rsidRDefault="00876AA0" w:rsidP="003A264E">
      <w:pPr>
        <w:pStyle w:val="RTFootnotetext"/>
      </w:pPr>
      <w:r w:rsidRPr="003A264E">
        <w:footnoteRef/>
      </w:r>
      <w:r w:rsidRPr="003A264E">
        <w:t xml:space="preserve"> Interview, Josh </w:t>
      </w:r>
      <w:proofErr w:type="spellStart"/>
      <w:r w:rsidRPr="003A264E">
        <w:t>Spickler</w:t>
      </w:r>
      <w:proofErr w:type="spellEnd"/>
      <w:r w:rsidRPr="003A264E">
        <w:t xml:space="preserve">, </w:t>
      </w:r>
      <w:r>
        <w:t>Executive Director, Just City</w:t>
      </w:r>
      <w:r w:rsidRPr="003A264E">
        <w:t xml:space="preserve">, Nashville, TN, 1 October 2015.  </w:t>
      </w:r>
    </w:p>
  </w:footnote>
  <w:footnote w:id="125">
    <w:p w14:paraId="727098D3" w14:textId="71933606" w:rsidR="00876AA0" w:rsidRPr="003A264E" w:rsidRDefault="00876AA0" w:rsidP="003A264E">
      <w:pPr>
        <w:pStyle w:val="RTFootnotetext"/>
      </w:pPr>
      <w:r w:rsidRPr="003A264E">
        <w:footnoteRef/>
      </w:r>
      <w:r w:rsidRPr="003A264E">
        <w:t xml:space="preserve"> In 2014, only 3.8% of such births in Tennessee occurred in Shelby County, and subsequent numbers for 2015 put the percentage even lower, at 2.9%. See Tennessee Department of Health, Drug Dependent Newborns Surveillance Summary for the Week of December 28, 2014 to January 2, 2015, http://tn.gov/assets/entities/health/attachments/NASsummary_Week_5314.pdf</w:t>
      </w:r>
    </w:p>
  </w:footnote>
  <w:footnote w:id="126">
    <w:p w14:paraId="64A3BB81" w14:textId="24FEB281" w:rsidR="00876AA0" w:rsidRPr="003A264E" w:rsidRDefault="00876AA0" w:rsidP="003A264E">
      <w:pPr>
        <w:pStyle w:val="RTFootnotetext"/>
      </w:pPr>
      <w:r w:rsidRPr="003A264E">
        <w:footnoteRef/>
      </w:r>
      <w:r w:rsidRPr="003A264E">
        <w:t xml:space="preserve"> NAS Surveillance Summary shows 14 babies at Week 18 of 2014, beginning in on April 27, 2014, and 38 at Week 53, for a total of 24 between the </w:t>
      </w:r>
      <w:proofErr w:type="gramStart"/>
      <w:r w:rsidRPr="003A264E">
        <w:t>week</w:t>
      </w:r>
      <w:proofErr w:type="gramEnd"/>
      <w:r w:rsidRPr="003A264E">
        <w:t xml:space="preserve"> after PC 820 went into effect until the end of 2014, plus 29 in 2015 at Week 47 ending November 28, 2015.</w:t>
      </w:r>
    </w:p>
  </w:footnote>
  <w:footnote w:id="127">
    <w:p w14:paraId="785D3095" w14:textId="77777777" w:rsidR="00876AA0" w:rsidRPr="003A264E" w:rsidRDefault="00876AA0" w:rsidP="003A264E">
      <w:pPr>
        <w:pStyle w:val="RTFootnotetext"/>
      </w:pPr>
      <w:r w:rsidRPr="003A264E">
        <w:footnoteRef/>
      </w:r>
      <w:r w:rsidRPr="003A264E">
        <w:t xml:space="preserve"> Though “drug dependent newborns” are tracked by the state, the arrests were not. </w:t>
      </w:r>
    </w:p>
  </w:footnote>
  <w:footnote w:id="128">
    <w:p w14:paraId="2A1DB379" w14:textId="5A12D148" w:rsidR="00876AA0" w:rsidRPr="003A264E" w:rsidRDefault="00876AA0" w:rsidP="003A264E">
      <w:pPr>
        <w:pStyle w:val="RTFootnotetext"/>
      </w:pPr>
      <w:r w:rsidRPr="003A264E">
        <w:footnoteRef/>
      </w:r>
      <w:r w:rsidRPr="003A264E">
        <w:t xml:space="preserve"> Tennessee Department of Health, Drug Dependent Newborns Surveillance Summary, </w:t>
      </w:r>
      <w:hyperlink r:id="rId43" w:history="1">
        <w:r w:rsidRPr="003A264E">
          <w:rPr>
            <w:rStyle w:val="Hyperlink"/>
            <w:color w:val="000000" w:themeColor="text1"/>
            <w:u w:val="none"/>
          </w:rPr>
          <w:t>www.tn.gov/assets/entities/health/attachments/NASsummary_Week_5314.pdf</w:t>
        </w:r>
      </w:hyperlink>
    </w:p>
  </w:footnote>
  <w:footnote w:id="129">
    <w:p w14:paraId="507AFFCC" w14:textId="77777777" w:rsidR="00876AA0" w:rsidRPr="003A264E" w:rsidRDefault="00876AA0" w:rsidP="003A264E">
      <w:pPr>
        <w:pStyle w:val="RTFootnotetext"/>
      </w:pPr>
      <w:r w:rsidRPr="003A264E">
        <w:footnoteRef/>
      </w:r>
      <w:r w:rsidRPr="003A264E">
        <w:t xml:space="preserve"> Interview, </w:t>
      </w:r>
      <w:proofErr w:type="spellStart"/>
      <w:r w:rsidRPr="003A264E">
        <w:t>Cherisse</w:t>
      </w:r>
      <w:proofErr w:type="spellEnd"/>
      <w:r w:rsidRPr="003A264E">
        <w:t xml:space="preserve"> Scott Executive Director and CEO, </w:t>
      </w:r>
      <w:proofErr w:type="spellStart"/>
      <w:r w:rsidRPr="003A264E">
        <w:t>SisterReach</w:t>
      </w:r>
      <w:proofErr w:type="spellEnd"/>
      <w:r w:rsidRPr="003A264E">
        <w:t>, Memphis, TN, 20 January 2015.</w:t>
      </w:r>
    </w:p>
  </w:footnote>
  <w:footnote w:id="130">
    <w:p w14:paraId="19B422F5" w14:textId="77777777" w:rsidR="00876AA0" w:rsidRPr="003A264E" w:rsidRDefault="00876AA0" w:rsidP="003A264E">
      <w:pPr>
        <w:pStyle w:val="RTFootnotetext"/>
      </w:pPr>
      <w:r w:rsidRPr="003A264E">
        <w:footnoteRef/>
      </w:r>
      <w:r w:rsidRPr="003A264E">
        <w:t xml:space="preserve"> Interview, </w:t>
      </w:r>
      <w:proofErr w:type="spellStart"/>
      <w:r w:rsidRPr="003A264E">
        <w:t>Cherisse</w:t>
      </w:r>
      <w:proofErr w:type="spellEnd"/>
      <w:r w:rsidRPr="003A264E">
        <w:t xml:space="preserve"> Scott Executive Director and CEO, </w:t>
      </w:r>
      <w:proofErr w:type="spellStart"/>
      <w:r w:rsidRPr="003A264E">
        <w:t>SisterReach</w:t>
      </w:r>
      <w:proofErr w:type="spellEnd"/>
      <w:r w:rsidRPr="003A264E">
        <w:t>, Memphis, TN, 20 January 2015.</w:t>
      </w:r>
    </w:p>
  </w:footnote>
  <w:footnote w:id="131">
    <w:p w14:paraId="2EADCF6C" w14:textId="77777777" w:rsidR="00876AA0" w:rsidRPr="003A264E" w:rsidRDefault="00876AA0" w:rsidP="003A264E">
      <w:pPr>
        <w:pStyle w:val="RTFootnotetext"/>
      </w:pPr>
      <w:r w:rsidRPr="003A264E">
        <w:footnoteRef/>
      </w:r>
      <w:r w:rsidRPr="003A264E">
        <w:t xml:space="preserve"> Interview, </w:t>
      </w:r>
      <w:proofErr w:type="spellStart"/>
      <w:r w:rsidRPr="003A264E">
        <w:t>Cherisse</w:t>
      </w:r>
      <w:proofErr w:type="spellEnd"/>
      <w:r w:rsidRPr="003A264E">
        <w:t xml:space="preserve"> Scott Executive Director and CEO, </w:t>
      </w:r>
      <w:proofErr w:type="spellStart"/>
      <w:r w:rsidRPr="003A264E">
        <w:t>SisterReach</w:t>
      </w:r>
      <w:proofErr w:type="spellEnd"/>
      <w:r w:rsidRPr="003A264E">
        <w:t>, Memphis, TN, 20 January 2015.</w:t>
      </w:r>
    </w:p>
  </w:footnote>
  <w:footnote w:id="132">
    <w:p w14:paraId="4F700703" w14:textId="17B1130B" w:rsidR="00876AA0" w:rsidRPr="003A264E" w:rsidRDefault="00876AA0" w:rsidP="003A264E">
      <w:pPr>
        <w:pStyle w:val="RTFootnotetext"/>
      </w:pPr>
      <w:r w:rsidRPr="003A264E">
        <w:footnoteRef/>
      </w:r>
      <w:r w:rsidRPr="003A264E">
        <w:t xml:space="preserve"> Tennessee Department of Health, Drug Dependent Newborns (Neonatal Abstinence Syndrome) Surveillance Summaries, published weekly, available at https://tn.gov/health/topic/nas; Tennessee Department of Mental Health &amp; Substance Abuse Services, </w:t>
      </w:r>
      <w:r>
        <w:t>s</w:t>
      </w:r>
      <w:r w:rsidRPr="003A264E">
        <w:t xml:space="preserve">ee </w:t>
      </w:r>
      <w:r>
        <w:t>‘</w:t>
      </w:r>
      <w:r w:rsidRPr="003A264E">
        <w:t>Prescription for Success: Statewide Strategies to Prevent and Treat the Prescription Drug Abuse Epidemic in Tennessee</w:t>
      </w:r>
      <w:r>
        <w:t>’</w:t>
      </w:r>
      <w:r w:rsidRPr="003A264E">
        <w:t>.</w:t>
      </w:r>
    </w:p>
  </w:footnote>
  <w:footnote w:id="133">
    <w:p w14:paraId="17C9CEEE" w14:textId="2A30868F" w:rsidR="00876AA0" w:rsidRDefault="00876AA0" w:rsidP="003A264E">
      <w:pPr>
        <w:pStyle w:val="RTFootnotetext"/>
      </w:pPr>
      <w:r w:rsidRPr="003A264E">
        <w:footnoteRef/>
      </w:r>
      <w:r w:rsidRPr="003A264E">
        <w:t xml:space="preserve"> </w:t>
      </w:r>
      <w:proofErr w:type="gramStart"/>
      <w:r w:rsidRPr="00EC36EB">
        <w:t xml:space="preserve">Zac </w:t>
      </w:r>
      <w:proofErr w:type="spellStart"/>
      <w:r w:rsidRPr="00EC36EB">
        <w:t>Talbott</w:t>
      </w:r>
      <w:proofErr w:type="spellEnd"/>
      <w:r w:rsidRPr="00EC36EB">
        <w:t xml:space="preserve">, Director of the East and Middle Tennessee Chapter of the National Alliance for Medication Assisted Recovery, </w:t>
      </w:r>
      <w:r>
        <w:t xml:space="preserve">2 </w:t>
      </w:r>
      <w:r w:rsidRPr="00EC36EB">
        <w:t>October 2015</w:t>
      </w:r>
      <w:r>
        <w:t>.</w:t>
      </w:r>
      <w:proofErr w:type="gramEnd"/>
    </w:p>
  </w:footnote>
  <w:footnote w:id="134">
    <w:p w14:paraId="2810FA62" w14:textId="46C4928B" w:rsidR="00876AA0" w:rsidRPr="00F87CBB" w:rsidRDefault="00876AA0" w:rsidP="00F87CBB">
      <w:pPr>
        <w:pStyle w:val="RTFootnotetext"/>
      </w:pPr>
      <w:r w:rsidRPr="00F87CBB">
        <w:rPr>
          <w:rStyle w:val="FootnoteReference"/>
          <w:vertAlign w:val="baseline"/>
        </w:rPr>
        <w:footnoteRef/>
      </w:r>
      <w:r w:rsidRPr="00F87CBB">
        <w:t xml:space="preserve"> K. McDonough, </w:t>
      </w:r>
      <w:r>
        <w:t>‘</w:t>
      </w:r>
      <w:r w:rsidRPr="00F87CBB">
        <w:t xml:space="preserve">You can’t always trust people to do the right thing: How a law split pro-life </w:t>
      </w:r>
      <w:proofErr w:type="spellStart"/>
      <w:r w:rsidRPr="00F87CBB">
        <w:t>GOPers</w:t>
      </w:r>
      <w:proofErr w:type="spellEnd"/>
      <w:r w:rsidRPr="00F87CBB">
        <w:t xml:space="preserve"> in Tennessee</w:t>
      </w:r>
      <w:r>
        <w:t>’</w:t>
      </w:r>
      <w:r w:rsidRPr="00F87CBB">
        <w:t xml:space="preserve"> Salon, </w:t>
      </w:r>
      <w:hyperlink r:id="rId44" w:history="1">
        <w:r w:rsidRPr="006A5A86">
          <w:rPr>
            <w:rStyle w:val="Hyperlink"/>
            <w:u w:val="none"/>
          </w:rPr>
          <w:t>www.salon.com/2014/04/21/you_cant_always_trust_people_to_do_the_right_thing_how_a_law_split_pro_life_gopers_in_tennessee/</w:t>
        </w:r>
      </w:hyperlink>
      <w:r w:rsidRPr="00F87CBB">
        <w:t xml:space="preserve"> </w:t>
      </w:r>
    </w:p>
  </w:footnote>
  <w:footnote w:id="135">
    <w:p w14:paraId="2E625885" w14:textId="7E36B3C3" w:rsidR="00876AA0" w:rsidRPr="00F87CBB" w:rsidRDefault="00876AA0" w:rsidP="00F87CBB">
      <w:pPr>
        <w:pStyle w:val="RTFootnotetext"/>
      </w:pPr>
      <w:r w:rsidRPr="00F87CBB">
        <w:rPr>
          <w:rStyle w:val="FootnoteReference"/>
          <w:vertAlign w:val="baseline"/>
        </w:rPr>
        <w:footnoteRef/>
      </w:r>
      <w:r w:rsidRPr="00F87CBB">
        <w:t xml:space="preserve"> Interview, Allison Glass, Healthy and Free Tennessee, Memphis, TN</w:t>
      </w:r>
      <w:r>
        <w:t>,</w:t>
      </w:r>
      <w:r w:rsidRPr="00F87CBB">
        <w:t xml:space="preserve"> 20 January 2015</w:t>
      </w:r>
      <w:r>
        <w:t>.</w:t>
      </w:r>
    </w:p>
  </w:footnote>
  <w:footnote w:id="136">
    <w:p w14:paraId="477198DE" w14:textId="71CBCB15" w:rsidR="00876AA0" w:rsidRPr="00F87CBB" w:rsidRDefault="00876AA0" w:rsidP="00F87CBB">
      <w:pPr>
        <w:pStyle w:val="RTFootnotetext"/>
      </w:pPr>
      <w:r w:rsidRPr="00F87CBB">
        <w:rPr>
          <w:rStyle w:val="FootnoteReference"/>
          <w:vertAlign w:val="baseline"/>
        </w:rPr>
        <w:footnoteRef/>
      </w:r>
      <w:r w:rsidRPr="00F87CBB">
        <w:t xml:space="preserve"> </w:t>
      </w:r>
      <w:r>
        <w:t xml:space="preserve">Phone </w:t>
      </w:r>
      <w:r w:rsidRPr="00F87CBB">
        <w:t>Interview, Evan Sexton, Clinical Director, Renaissance Recovery Group, Knoxville, TN, 2</w:t>
      </w:r>
      <w:r>
        <w:t>2 February 2016</w:t>
      </w:r>
      <w:r w:rsidRPr="00F87CBB">
        <w:t>.</w:t>
      </w:r>
    </w:p>
  </w:footnote>
  <w:footnote w:id="137">
    <w:p w14:paraId="6876B652" w14:textId="44458B24" w:rsidR="00876AA0" w:rsidRPr="00F87CBB" w:rsidRDefault="00876AA0" w:rsidP="00F87CBB">
      <w:pPr>
        <w:pStyle w:val="RTFootnotetext"/>
      </w:pPr>
      <w:r w:rsidRPr="00F87CBB">
        <w:rPr>
          <w:rStyle w:val="FootnoteReference"/>
          <w:vertAlign w:val="baseline"/>
        </w:rPr>
        <w:footnoteRef/>
      </w:r>
      <w:r w:rsidRPr="00F87CBB">
        <w:t xml:space="preserve"> American College of Obstetricians and Gynecologists, </w:t>
      </w:r>
      <w:r>
        <w:t>‘</w:t>
      </w:r>
      <w:r w:rsidRPr="00F87CBB">
        <w:t>Committee Opinion: Opioid Abuse, Dependence, and Addiction in Pregnancy</w:t>
      </w:r>
      <w:r>
        <w:t>’</w:t>
      </w:r>
      <w:r w:rsidRPr="00F87CBB">
        <w:t>, Number 524, 2012, www.acog.org/Resources-And-Publications/Committee-Opinions/Committee-on-Health-Care-for-Underserved-Women/Opioid-Abuse-Dependence-and-Addiction-in-Pregnancy</w:t>
      </w:r>
    </w:p>
  </w:footnote>
  <w:footnote w:id="138">
    <w:p w14:paraId="2D3D58A2" w14:textId="3BC0CF3F" w:rsidR="00876AA0" w:rsidRPr="001B5580" w:rsidRDefault="00876AA0" w:rsidP="001B5580">
      <w:pPr>
        <w:pStyle w:val="RTFootnotetext"/>
      </w:pPr>
      <w:r w:rsidRPr="00F87CBB">
        <w:rPr>
          <w:rStyle w:val="FootnoteReference"/>
          <w:vertAlign w:val="baseline"/>
        </w:rPr>
        <w:footnoteRef/>
      </w:r>
      <w:r w:rsidRPr="00F87CBB">
        <w:t xml:space="preserve"> </w:t>
      </w:r>
      <w:proofErr w:type="gramStart"/>
      <w:r w:rsidRPr="00F87CBB">
        <w:t>Center for Substance Abuse Treatment.</w:t>
      </w:r>
      <w:proofErr w:type="gramEnd"/>
      <w:r w:rsidRPr="00F87CBB">
        <w:t xml:space="preserve"> </w:t>
      </w:r>
      <w:proofErr w:type="gramStart"/>
      <w:r w:rsidRPr="00F87CBB">
        <w:t>Medication-Assisted Treatment for Opioid Addiction in Opioid Treatment Programs.</w:t>
      </w:r>
      <w:proofErr w:type="gramEnd"/>
      <w:r w:rsidRPr="00F87CBB">
        <w:t xml:space="preserve"> Rockville (MD): Substance Abuse and Mental Health Services Administration (US); 2005. </w:t>
      </w:r>
      <w:proofErr w:type="gramStart"/>
      <w:r w:rsidRPr="00F87CBB">
        <w:t>(Treatment Improvement Protocol (TIP) Series, No. 43.)</w:t>
      </w:r>
      <w:proofErr w:type="gramEnd"/>
      <w:r w:rsidRPr="00F87CBB">
        <w:t xml:space="preserve"> </w:t>
      </w:r>
      <w:proofErr w:type="gramStart"/>
      <w:r w:rsidRPr="00F87CBB">
        <w:t>Chapter 13.</w:t>
      </w:r>
      <w:proofErr w:type="gramEnd"/>
      <w:r w:rsidRPr="00F87CBB">
        <w:t xml:space="preserve"> Medication-Assisted Treatment for Opioid Addiction During Pregnancy, </w:t>
      </w:r>
      <w:hyperlink r:id="rId45" w:history="1">
        <w:r w:rsidRPr="00F87CBB">
          <w:rPr>
            <w:rStyle w:val="Hyperlink"/>
            <w:color w:val="000000" w:themeColor="text1"/>
            <w:u w:val="none"/>
          </w:rPr>
          <w:t>www.ncbi.nlm.nih.gov/books/NBK64148/</w:t>
        </w:r>
      </w:hyperlink>
      <w:r w:rsidRPr="00F87CBB">
        <w:t xml:space="preserve"> </w:t>
      </w:r>
    </w:p>
  </w:footnote>
  <w:footnote w:id="139">
    <w:p w14:paraId="257E0776" w14:textId="6EDB812B" w:rsidR="00876AA0" w:rsidRPr="00F87CBB" w:rsidRDefault="00876AA0" w:rsidP="001B5580">
      <w:pPr>
        <w:pStyle w:val="RTFootnotetext"/>
      </w:pPr>
      <w:r w:rsidRPr="001B5580">
        <w:rPr>
          <w:rStyle w:val="FootnoteReference"/>
          <w:vertAlign w:val="baseline"/>
        </w:rPr>
        <w:footnoteRef/>
      </w:r>
      <w:r w:rsidRPr="001B5580">
        <w:t xml:space="preserve"> Zac </w:t>
      </w:r>
      <w:proofErr w:type="spellStart"/>
      <w:r w:rsidRPr="001B5580">
        <w:t>Talbott</w:t>
      </w:r>
      <w:proofErr w:type="spellEnd"/>
      <w:r w:rsidRPr="001B5580">
        <w:t xml:space="preserve">, Director of the East and Middle Tennessee Chapter of the National Alliance for Medication Assisted Recovery, 2 October 2015; Tennessee Department of Mental Health and Substance Abuse, Map of Opioid Treatment Clinics shows only 12 clinics in the state, </w:t>
      </w:r>
      <w:hyperlink r:id="rId46" w:history="1">
        <w:r w:rsidRPr="001B5580">
          <w:rPr>
            <w:rStyle w:val="Hyperlink"/>
            <w:color w:val="000000" w:themeColor="text1"/>
            <w:u w:val="none"/>
          </w:rPr>
          <w:t>www.tn.gov/assets/entities/behavioral-health/sa/attachments/Tennessee_Opioid_Treatment_Clinics_Map%2C_locations.pdf</w:t>
        </w:r>
      </w:hyperlink>
      <w:r w:rsidRPr="001B5580">
        <w:t xml:space="preserve"> </w:t>
      </w:r>
    </w:p>
  </w:footnote>
  <w:footnote w:id="140">
    <w:p w14:paraId="6EF0EDB7" w14:textId="32B3341D" w:rsidR="00876AA0" w:rsidRPr="00F87CBB" w:rsidRDefault="00876AA0" w:rsidP="00F87CBB">
      <w:pPr>
        <w:pStyle w:val="RTFootnotetext"/>
      </w:pPr>
      <w:r w:rsidRPr="00F87CBB">
        <w:rPr>
          <w:rStyle w:val="FootnoteReference"/>
          <w:vertAlign w:val="baseline"/>
        </w:rPr>
        <w:footnoteRef/>
      </w:r>
      <w:r w:rsidRPr="00F87CBB">
        <w:t xml:space="preserve"> Mary-Linden Salter, The Tennessee Association of Alcohol, Drug, and Other Addiction Services (TAADAS) </w:t>
      </w:r>
      <w:r>
        <w:t>‘</w:t>
      </w:r>
      <w:r w:rsidRPr="00F87CBB">
        <w:t>Opportunities to address pregnancy, drug use and the law</w:t>
      </w:r>
      <w:r>
        <w:t>’</w:t>
      </w:r>
      <w:r w:rsidRPr="00F87CBB">
        <w:t xml:space="preserve">, unpublished policy paper, December 2015; </w:t>
      </w:r>
      <w:r>
        <w:t>a</w:t>
      </w:r>
      <w:r w:rsidRPr="00F87CBB">
        <w:t>ccording to the National Institute on Drug Abuse, “the average cost for 1 full year of methadone maintenance treatment is approximately $4,700 per patient”</w:t>
      </w:r>
      <w:r>
        <w:t>,</w:t>
      </w:r>
      <w:r w:rsidRPr="00F87CBB">
        <w:t xml:space="preserve"> in National Institute on Drug Abuse, Principles of Drug Addiction Treatment: A Research-Based Guide, www.drugabuse.gov/publications/principles-drug-addiction-treatment-research-based-guide-third-edition/frequently-asked-questions/drug-addiction-treatment-worth-its-cost  </w:t>
      </w:r>
    </w:p>
  </w:footnote>
  <w:footnote w:id="141">
    <w:p w14:paraId="15A88CB9" w14:textId="5CD48CB6" w:rsidR="00876AA0" w:rsidRPr="00F87CBB" w:rsidRDefault="00876AA0" w:rsidP="00F87CBB">
      <w:pPr>
        <w:pStyle w:val="RTFootnotetext"/>
      </w:pPr>
      <w:r w:rsidRPr="00F87CBB">
        <w:rPr>
          <w:rStyle w:val="FootnoteReference"/>
          <w:vertAlign w:val="baseline"/>
        </w:rPr>
        <w:footnoteRef/>
      </w:r>
      <w:r w:rsidRPr="00F87CBB">
        <w:t xml:space="preserve"> Interview, Brittany, March 2015</w:t>
      </w:r>
      <w:r>
        <w:t>.</w:t>
      </w:r>
    </w:p>
  </w:footnote>
  <w:footnote w:id="142">
    <w:p w14:paraId="39979D26" w14:textId="62B0B725" w:rsidR="00876AA0" w:rsidRPr="00F87CBB" w:rsidRDefault="00876AA0" w:rsidP="00F87CBB">
      <w:pPr>
        <w:pStyle w:val="RTFootnotetext"/>
      </w:pPr>
      <w:r w:rsidRPr="00F87CBB">
        <w:footnoteRef/>
      </w:r>
      <w:r w:rsidRPr="00F87CBB">
        <w:t xml:space="preserve"> Mary-Linden Salter, The Tennessee Association of Alcohol, Drug, and Other Addiction Services (TAADAS) </w:t>
      </w:r>
      <w:r>
        <w:t>‘</w:t>
      </w:r>
      <w:r w:rsidRPr="00F87CBB">
        <w:t>Opportunities to address pregnancy, drug use and the law</w:t>
      </w:r>
      <w:r>
        <w:t>’</w:t>
      </w:r>
      <w:r w:rsidRPr="00F87CBB">
        <w:t>, unpublished policy paper, December 2015</w:t>
      </w:r>
      <w:r>
        <w:t>.</w:t>
      </w:r>
    </w:p>
  </w:footnote>
  <w:footnote w:id="143">
    <w:p w14:paraId="08749BC4" w14:textId="77777777" w:rsidR="00876AA0" w:rsidRPr="00F35BC4" w:rsidRDefault="00876AA0" w:rsidP="00F87CBB">
      <w:pPr>
        <w:pStyle w:val="RTFootnotetext"/>
      </w:pPr>
      <w:r w:rsidRPr="00F87CBB">
        <w:footnoteRef/>
      </w:r>
      <w:r w:rsidRPr="00F87CBB">
        <w:t xml:space="preserve"> </w:t>
      </w:r>
      <w:proofErr w:type="gramStart"/>
      <w:r w:rsidRPr="00F87CBB">
        <w:t>Interview, government official at the Tennessee Department of Health and Mental Health, Nashville, TN, 30 March 2015.</w:t>
      </w:r>
      <w:proofErr w:type="gramEnd"/>
    </w:p>
  </w:footnote>
  <w:footnote w:id="144">
    <w:p w14:paraId="4B5D457B" w14:textId="002D56B0" w:rsidR="00876AA0" w:rsidRPr="00F87CBB" w:rsidRDefault="00876AA0" w:rsidP="00F87CBB">
      <w:pPr>
        <w:pStyle w:val="RTFootnotetext"/>
      </w:pPr>
      <w:r w:rsidRPr="00F87CBB">
        <w:rPr>
          <w:rStyle w:val="FootnoteReference"/>
          <w:vertAlign w:val="baseline"/>
        </w:rPr>
        <w:footnoteRef/>
      </w:r>
      <w:r w:rsidRPr="00F87CBB">
        <w:t xml:space="preserve"> </w:t>
      </w:r>
      <w:r>
        <w:t>Interview,</w:t>
      </w:r>
      <w:r w:rsidRPr="00F87CBB">
        <w:t xml:space="preserve"> Obstetrician-Gynecologist Jessica Young, 30 January 2015</w:t>
      </w:r>
      <w:r>
        <w:t>.</w:t>
      </w:r>
    </w:p>
  </w:footnote>
  <w:footnote w:id="145">
    <w:p w14:paraId="18068480" w14:textId="45FA0428" w:rsidR="00876AA0" w:rsidRPr="00F87CBB" w:rsidRDefault="00876AA0" w:rsidP="00F87CBB">
      <w:pPr>
        <w:pStyle w:val="RTFootnotetext"/>
      </w:pPr>
      <w:r w:rsidRPr="00F87CBB">
        <w:rPr>
          <w:rStyle w:val="FootnoteReference"/>
          <w:vertAlign w:val="baseline"/>
        </w:rPr>
        <w:footnoteRef/>
      </w:r>
      <w:r>
        <w:t xml:space="preserve"> </w:t>
      </w:r>
      <w:proofErr w:type="gramStart"/>
      <w:r>
        <w:t>Interview,</w:t>
      </w:r>
      <w:r w:rsidRPr="00F87CBB">
        <w:t xml:space="preserve"> Knox County Public Defender’s Office</w:t>
      </w:r>
      <w:r>
        <w:t>, March 2015.</w:t>
      </w:r>
      <w:proofErr w:type="gramEnd"/>
    </w:p>
  </w:footnote>
  <w:footnote w:id="146">
    <w:p w14:paraId="66145D0C" w14:textId="306EEF31" w:rsidR="00876AA0" w:rsidRPr="00F87CBB" w:rsidRDefault="00876AA0" w:rsidP="00F87CBB">
      <w:pPr>
        <w:pStyle w:val="RTFootnotetext"/>
      </w:pPr>
      <w:r w:rsidRPr="00F87CBB">
        <w:rPr>
          <w:rStyle w:val="FootnoteReference"/>
          <w:vertAlign w:val="baseline"/>
        </w:rPr>
        <w:footnoteRef/>
      </w:r>
      <w:r w:rsidRPr="00F87CBB">
        <w:t xml:space="preserve"> While newborns may exhibit symptoms of physical withdrawal to a substance, they do not experience “addiction,” (also known as “dependence syndrome” by the World Health Organization (WHO). According to the WHO’s International Classification of Diseases, “dependence syndrome” includes “physiological, behavioral, and cognitive phenomena in which the use of a substance…</w:t>
      </w:r>
      <w:r>
        <w:t xml:space="preserve"> </w:t>
      </w:r>
      <w:r w:rsidRPr="00F87CBB">
        <w:t xml:space="preserve">takes on a much higher priority for a given individual than other behaviors that once had greater value.” Furthermore, a central descriptive characteristic of the “dependence syndrome” is the desire to take drugs, which involves mental processes of reward, motivation and memory. World Health Organization, ICD-10 Classification of Mental and </w:t>
      </w:r>
      <w:proofErr w:type="spellStart"/>
      <w:r w:rsidRPr="00F87CBB">
        <w:t>Behavioural</w:t>
      </w:r>
      <w:proofErr w:type="spellEnd"/>
      <w:r w:rsidRPr="00F87CBB">
        <w:t xml:space="preserve"> Disorders: Clinical Descriptions and diagnostic guidelines, F 10-F19 Mental and </w:t>
      </w:r>
      <w:proofErr w:type="spellStart"/>
      <w:r w:rsidRPr="00F87CBB">
        <w:t>behavioural</w:t>
      </w:r>
      <w:proofErr w:type="spellEnd"/>
      <w:r w:rsidRPr="00F87CBB">
        <w:t xml:space="preserve"> disorders due to psychoactive substance use, p.4, </w:t>
      </w:r>
      <w:hyperlink r:id="rId47" w:history="1">
        <w:r w:rsidRPr="00F87CBB">
          <w:rPr>
            <w:rStyle w:val="Hyperlink"/>
            <w:color w:val="000000" w:themeColor="text1"/>
            <w:u w:val="none"/>
          </w:rPr>
          <w:t>www.who.int/substance_abuse/terminology/ICD10ClinicalDiagnosis.pdf</w:t>
        </w:r>
      </w:hyperlink>
      <w:r w:rsidRPr="00F87CBB">
        <w:t xml:space="preserve"> </w:t>
      </w:r>
    </w:p>
  </w:footnote>
  <w:footnote w:id="147">
    <w:p w14:paraId="36428993" w14:textId="237E53A4" w:rsidR="00876AA0" w:rsidRPr="00F87CBB" w:rsidRDefault="00876AA0" w:rsidP="00F87CBB">
      <w:pPr>
        <w:pStyle w:val="RTFootnotetext"/>
      </w:pPr>
      <w:r w:rsidRPr="00F87CBB">
        <w:rPr>
          <w:rStyle w:val="FootnoteReference"/>
          <w:vertAlign w:val="baseline"/>
        </w:rPr>
        <w:footnoteRef/>
      </w:r>
      <w:r w:rsidRPr="00F87CBB">
        <w:t xml:space="preserve"> </w:t>
      </w:r>
      <w:proofErr w:type="gramStart"/>
      <w:r w:rsidRPr="00F87CBB">
        <w:t xml:space="preserve">Interview, Healthcare provider for pregnant drug dependent women, </w:t>
      </w:r>
      <w:r>
        <w:t xml:space="preserve">3 </w:t>
      </w:r>
      <w:r w:rsidRPr="00F87CBB">
        <w:t>October 2015.</w:t>
      </w:r>
      <w:proofErr w:type="gramEnd"/>
    </w:p>
  </w:footnote>
  <w:footnote w:id="148">
    <w:p w14:paraId="5E88BF3C" w14:textId="21E1E0F1" w:rsidR="00876AA0" w:rsidRPr="00F87CBB" w:rsidRDefault="00876AA0" w:rsidP="00F87CBB">
      <w:pPr>
        <w:pStyle w:val="RTFootnotetext"/>
      </w:pPr>
      <w:r w:rsidRPr="00F87CBB">
        <w:rPr>
          <w:rStyle w:val="FootnoteReference"/>
          <w:vertAlign w:val="baseline"/>
        </w:rPr>
        <w:footnoteRef/>
      </w:r>
      <w:r w:rsidRPr="00F87CBB">
        <w:t xml:space="preserve"> American Congress of Obstetricians and Gynecologists (ACOG), </w:t>
      </w:r>
      <w:r>
        <w:t>‘</w:t>
      </w:r>
      <w:r w:rsidRPr="00F87CBB">
        <w:t>Toolkit on State Legislation: Pregnant Women &amp; Prescription Drug Abuse, Dependence and Addiction</w:t>
      </w:r>
      <w:r>
        <w:t>’</w:t>
      </w:r>
      <w:r w:rsidRPr="00F87CBB">
        <w:t xml:space="preserve">, </w:t>
      </w:r>
      <w:hyperlink r:id="rId48" w:history="1">
        <w:r w:rsidRPr="00F87CBB">
          <w:rPr>
            <w:rStyle w:val="Hyperlink"/>
            <w:color w:val="000000" w:themeColor="text1"/>
            <w:u w:val="none"/>
          </w:rPr>
          <w:t>www.acog.org/-/media/Departments/Government-Relations-and-Outreach/NASToolkit.pdf</w:t>
        </w:r>
      </w:hyperlink>
      <w:r w:rsidRPr="00F87CBB">
        <w:t xml:space="preserve"> </w:t>
      </w:r>
    </w:p>
  </w:footnote>
  <w:footnote w:id="149">
    <w:p w14:paraId="3F1D5A8E" w14:textId="7BD6CB65" w:rsidR="00876AA0" w:rsidRPr="00F87CBB" w:rsidRDefault="00876AA0" w:rsidP="00F87CBB">
      <w:pPr>
        <w:pStyle w:val="RTFootnotetext"/>
      </w:pPr>
      <w:r w:rsidRPr="00F87CBB">
        <w:rPr>
          <w:rStyle w:val="FootnoteReference"/>
          <w:vertAlign w:val="baseline"/>
        </w:rPr>
        <w:footnoteRef/>
      </w:r>
      <w:r w:rsidRPr="00F87CBB">
        <w:t xml:space="preserve"> American Congress of Obstetricians and Gynecologists (ACOG), </w:t>
      </w:r>
      <w:r>
        <w:t>‘</w:t>
      </w:r>
      <w:r w:rsidRPr="00F87CBB">
        <w:t>Toolkit on State Legislation: Pregnant Women &amp; Prescription Drug Abuse, Dependence and Addiction</w:t>
      </w:r>
      <w:r>
        <w:t>’,</w:t>
      </w:r>
      <w:r w:rsidRPr="00F87CBB">
        <w:t xml:space="preserve"> </w:t>
      </w:r>
      <w:r>
        <w:t>a</w:t>
      </w:r>
      <w:r w:rsidRPr="00F87CBB">
        <w:t xml:space="preserve">vailable at </w:t>
      </w:r>
      <w:r w:rsidRPr="006A5A86">
        <w:t>www.acog.org/-/media/Departments/Government-Relations-and-Outreach/NASToolkit.pdf</w:t>
      </w:r>
      <w:r w:rsidRPr="00400D07">
        <w:t xml:space="preserve"> The American Congress of Obstetricians and Gynecologists is a companion organization to the American College of Obstetricians and Gynecologists a</w:t>
      </w:r>
      <w:r w:rsidRPr="00F87CBB">
        <w:t xml:space="preserve">nd focuses on socioeconomic and political activities. </w:t>
      </w:r>
    </w:p>
  </w:footnote>
  <w:footnote w:id="150">
    <w:p w14:paraId="6427D9CB" w14:textId="44BD2C30" w:rsidR="00876AA0" w:rsidRPr="00F87CBB" w:rsidRDefault="00876AA0" w:rsidP="00F87CBB">
      <w:pPr>
        <w:pStyle w:val="RTFootnotetext"/>
      </w:pPr>
      <w:r w:rsidRPr="00F87CBB">
        <w:rPr>
          <w:rStyle w:val="FootnoteReference"/>
          <w:vertAlign w:val="baseline"/>
        </w:rPr>
        <w:footnoteRef/>
      </w:r>
      <w:r w:rsidRPr="00F87CBB">
        <w:t xml:space="preserve"> Statements collected by National Advocates for Pregnant Women, http://advocatesforpregnantwomen.org/blog/Medical%20Grps%20Position%20Statements-2014%20(Updated).pdf </w:t>
      </w:r>
    </w:p>
  </w:footnote>
  <w:footnote w:id="151">
    <w:p w14:paraId="67DB2346" w14:textId="77777777" w:rsidR="00876AA0" w:rsidRPr="00F87CBB" w:rsidRDefault="00876AA0" w:rsidP="00F87CBB">
      <w:pPr>
        <w:pStyle w:val="RTFootnotetext"/>
      </w:pPr>
      <w:r w:rsidRPr="00F87CBB">
        <w:rPr>
          <w:rStyle w:val="FootnoteReference"/>
          <w:vertAlign w:val="baseline"/>
        </w:rPr>
        <w:footnoteRef/>
      </w:r>
      <w:r w:rsidRPr="00F87CBB">
        <w:t xml:space="preserve"> World Health Organization, Guidelines for the identification and management of substance use disorders in pregnancy, 2014.</w:t>
      </w:r>
    </w:p>
  </w:footnote>
  <w:footnote w:id="152">
    <w:p w14:paraId="5CE52F29" w14:textId="3E865CC6" w:rsidR="00876AA0" w:rsidRPr="00F87CBB" w:rsidRDefault="00876AA0" w:rsidP="00F87CBB">
      <w:pPr>
        <w:pStyle w:val="RTFootnotetext"/>
      </w:pPr>
      <w:r w:rsidRPr="00F87CBB">
        <w:rPr>
          <w:rStyle w:val="FootnoteReference"/>
          <w:vertAlign w:val="baseline"/>
        </w:rPr>
        <w:footnoteRef/>
      </w:r>
      <w:r w:rsidRPr="00F87CBB">
        <w:t xml:space="preserve"> </w:t>
      </w:r>
      <w:proofErr w:type="gramStart"/>
      <w:r w:rsidRPr="00F87CBB">
        <w:t>Tenn. Code Ann. § 39-13-107 (2015)</w:t>
      </w:r>
      <w:r>
        <w:t>.</w:t>
      </w:r>
      <w:proofErr w:type="gramEnd"/>
    </w:p>
  </w:footnote>
  <w:footnote w:id="153">
    <w:p w14:paraId="5F4F25F6" w14:textId="77777777" w:rsidR="00876AA0" w:rsidRPr="00F87CBB" w:rsidRDefault="00876AA0" w:rsidP="00F87CBB">
      <w:pPr>
        <w:pStyle w:val="RTFootnotetext"/>
      </w:pPr>
      <w:r w:rsidRPr="00F87CBB">
        <w:rPr>
          <w:rStyle w:val="FootnoteReference"/>
          <w:vertAlign w:val="baseline"/>
        </w:rPr>
        <w:footnoteRef/>
      </w:r>
      <w:r w:rsidRPr="00F87CBB">
        <w:t xml:space="preserve"> Interview, Tom </w:t>
      </w:r>
      <w:proofErr w:type="spellStart"/>
      <w:r w:rsidRPr="00F87CBB">
        <w:t>Castelli</w:t>
      </w:r>
      <w:proofErr w:type="spellEnd"/>
      <w:r w:rsidRPr="00F87CBB">
        <w:t>, ACLU-TN, Nashville, TN, 30 January 2015.</w:t>
      </w:r>
    </w:p>
  </w:footnote>
  <w:footnote w:id="154">
    <w:p w14:paraId="7A70480C" w14:textId="4EDE7F4A" w:rsidR="00876AA0" w:rsidRPr="00F35BC4" w:rsidRDefault="00876AA0" w:rsidP="00F87CBB">
      <w:pPr>
        <w:pStyle w:val="RTFootnotetext"/>
      </w:pPr>
      <w:r w:rsidRPr="00F87CBB">
        <w:rPr>
          <w:rStyle w:val="FootnoteReference"/>
          <w:vertAlign w:val="baseline"/>
        </w:rPr>
        <w:footnoteRef/>
      </w:r>
      <w:r w:rsidRPr="00F87CBB">
        <w:t xml:space="preserve"> National Institute on Drug Abuse, </w:t>
      </w:r>
      <w:r>
        <w:t>‘</w:t>
      </w:r>
      <w:r w:rsidRPr="00F87CBB">
        <w:t>The Science of Drug Abuse and Addiction: The Basics</w:t>
      </w:r>
      <w:r>
        <w:t>’</w:t>
      </w:r>
      <w:r w:rsidRPr="00F87CBB">
        <w:t xml:space="preserve">, </w:t>
      </w:r>
      <w:hyperlink r:id="rId49" w:history="1">
        <w:r w:rsidRPr="00F87CBB">
          <w:rPr>
            <w:rStyle w:val="Hyperlink"/>
            <w:color w:val="000000" w:themeColor="text1"/>
            <w:u w:val="none"/>
          </w:rPr>
          <w:t>www.drugabuse.gov/publications/media-guide/science-drug-abuse-addiction-basics</w:t>
        </w:r>
      </w:hyperlink>
      <w:r w:rsidRPr="00F87CBB">
        <w:t xml:space="preserve"> </w:t>
      </w:r>
    </w:p>
  </w:footnote>
  <w:footnote w:id="155">
    <w:p w14:paraId="4088F3F6" w14:textId="744DF697" w:rsidR="00876AA0" w:rsidRPr="00F87CBB" w:rsidRDefault="00876AA0" w:rsidP="00F87CBB">
      <w:pPr>
        <w:pStyle w:val="RTFootnotetext"/>
      </w:pPr>
      <w:r w:rsidRPr="00F87CBB">
        <w:rPr>
          <w:rStyle w:val="FootnoteReference"/>
          <w:vertAlign w:val="baseline"/>
        </w:rPr>
        <w:footnoteRef/>
      </w:r>
      <w:r w:rsidRPr="00F87CBB">
        <w:t xml:space="preserve"> American College of Obstetricians and Gynecologists, </w:t>
      </w:r>
      <w:r>
        <w:t>‘</w:t>
      </w:r>
      <w:r w:rsidRPr="00F87CBB">
        <w:t>Committee Opinion: Opioid Abuse, Dependence, and Addiction in Pregnancy</w:t>
      </w:r>
      <w:r>
        <w:t>’</w:t>
      </w:r>
      <w:r w:rsidRPr="00F87CBB">
        <w:t>,</w:t>
      </w:r>
      <w:r>
        <w:t xml:space="preserve"> </w:t>
      </w:r>
      <w:r w:rsidRPr="00F87CBB">
        <w:t xml:space="preserve">Number 524, May 2012, </w:t>
      </w:r>
      <w:hyperlink r:id="rId50" w:history="1">
        <w:r w:rsidRPr="00F87CBB">
          <w:rPr>
            <w:rStyle w:val="Hyperlink"/>
            <w:color w:val="000000" w:themeColor="text1"/>
            <w:u w:val="none"/>
          </w:rPr>
          <w:t>www.acog.org/Resources-And-Publications/Committee-Opinions/Committee-on-Health-Care-for-Underserved-Women/Opioid-Abuse-Dependence-and-Addiction-in-Pregnancy</w:t>
        </w:r>
      </w:hyperlink>
      <w:r w:rsidRPr="00F87CBB">
        <w:t xml:space="preserve"> </w:t>
      </w:r>
    </w:p>
  </w:footnote>
  <w:footnote w:id="156">
    <w:p w14:paraId="61040B18" w14:textId="26D54100" w:rsidR="00876AA0" w:rsidRPr="00F87CBB" w:rsidRDefault="00876AA0" w:rsidP="00F87CBB">
      <w:pPr>
        <w:pStyle w:val="RTFootnotetext"/>
      </w:pPr>
      <w:r w:rsidRPr="00F87CBB">
        <w:rPr>
          <w:rStyle w:val="FootnoteReference"/>
          <w:vertAlign w:val="baseline"/>
        </w:rPr>
        <w:footnoteRef/>
      </w:r>
      <w:r w:rsidRPr="00F87CBB">
        <w:t xml:space="preserve"> American Congress of Obstetricians and Gynecologists (ACOG), </w:t>
      </w:r>
      <w:r>
        <w:t>‘</w:t>
      </w:r>
      <w:r w:rsidRPr="00F87CBB">
        <w:t>Toolkit on State Legislation: Pregnant Women &amp; Prescription Drug Abuse, Dependence and Addiction</w:t>
      </w:r>
      <w:r>
        <w:t>’</w:t>
      </w:r>
      <w:r w:rsidRPr="00F87CBB">
        <w:t xml:space="preserve">, </w:t>
      </w:r>
      <w:hyperlink r:id="rId51" w:history="1">
        <w:r w:rsidRPr="00F87CBB">
          <w:rPr>
            <w:rStyle w:val="Hyperlink"/>
            <w:color w:val="000000" w:themeColor="text1"/>
            <w:u w:val="none"/>
          </w:rPr>
          <w:t>www.acog.org/-/media/Departments/Government-Relations-and-Outreach/NASToolkit.pdf</w:t>
        </w:r>
      </w:hyperlink>
      <w:r w:rsidRPr="00F87CBB">
        <w:t xml:space="preserve"> </w:t>
      </w:r>
    </w:p>
  </w:footnote>
  <w:footnote w:id="157">
    <w:p w14:paraId="732A72AE" w14:textId="66F8FEBB" w:rsidR="00876AA0" w:rsidRPr="00F87CBB" w:rsidRDefault="00876AA0" w:rsidP="00F87CBB">
      <w:pPr>
        <w:pStyle w:val="RTFootnotetext"/>
      </w:pPr>
      <w:r w:rsidRPr="00F87CBB">
        <w:rPr>
          <w:rStyle w:val="FootnoteReference"/>
          <w:vertAlign w:val="baseline"/>
        </w:rPr>
        <w:footnoteRef/>
      </w:r>
      <w:r w:rsidRPr="00F87CBB">
        <w:t xml:space="preserve"> Interview, </w:t>
      </w:r>
      <w:r>
        <w:t xml:space="preserve">Director of Just City </w:t>
      </w:r>
      <w:r w:rsidRPr="00F87CBB">
        <w:t xml:space="preserve">Josh </w:t>
      </w:r>
      <w:proofErr w:type="spellStart"/>
      <w:r w:rsidRPr="00F87CBB">
        <w:t>Spickler</w:t>
      </w:r>
      <w:proofErr w:type="spellEnd"/>
      <w:r w:rsidRPr="00F87CBB">
        <w:t>, 20 January 2015.</w:t>
      </w:r>
    </w:p>
  </w:footnote>
  <w:footnote w:id="158">
    <w:p w14:paraId="1152AF06" w14:textId="25D33721" w:rsidR="00876AA0" w:rsidRPr="00F87CBB" w:rsidRDefault="00876AA0" w:rsidP="00F87CBB">
      <w:pPr>
        <w:pStyle w:val="RTFootnotetext"/>
      </w:pPr>
      <w:r w:rsidRPr="00F87CBB">
        <w:rPr>
          <w:rStyle w:val="FootnoteReference"/>
          <w:vertAlign w:val="baseline"/>
        </w:rPr>
        <w:footnoteRef/>
      </w:r>
      <w:r w:rsidRPr="00F87CBB">
        <w:t xml:space="preserve"> Interview, Obstetrician-Gynecologist Jessica Young, Nashville, TN, 30 January 2015</w:t>
      </w:r>
      <w:r>
        <w:t>.</w:t>
      </w:r>
    </w:p>
  </w:footnote>
  <w:footnote w:id="159">
    <w:p w14:paraId="51E9DB2B" w14:textId="32F6B9F1" w:rsidR="00876AA0" w:rsidRDefault="00876AA0" w:rsidP="00F87CBB">
      <w:pPr>
        <w:pStyle w:val="RTFootnotetext"/>
      </w:pPr>
      <w:r w:rsidRPr="00F87CBB">
        <w:rPr>
          <w:rStyle w:val="FootnoteReference"/>
          <w:vertAlign w:val="baseline"/>
        </w:rPr>
        <w:footnoteRef/>
      </w:r>
      <w:r w:rsidRPr="00F87CBB">
        <w:t xml:space="preserve"> </w:t>
      </w:r>
      <w:proofErr w:type="gramStart"/>
      <w:r w:rsidRPr="00F87CBB">
        <w:t>Interview, woman who had been dependent on drugs while pregnant, Nashville, Tennessee, Focus Group of 8 women, 17 March 2015</w:t>
      </w:r>
      <w:r>
        <w:t>.</w:t>
      </w:r>
      <w:proofErr w:type="gramEnd"/>
    </w:p>
  </w:footnote>
  <w:footnote w:id="160">
    <w:p w14:paraId="3FC00CAC" w14:textId="77777777" w:rsidR="00876AA0" w:rsidRPr="002402A8" w:rsidRDefault="00876AA0" w:rsidP="002402A8">
      <w:pPr>
        <w:pStyle w:val="RTFootnotetext"/>
      </w:pPr>
      <w:r w:rsidRPr="002402A8">
        <w:footnoteRef/>
      </w:r>
      <w:r w:rsidRPr="002402A8">
        <w:t xml:space="preserve"> J. </w:t>
      </w:r>
      <w:proofErr w:type="spellStart"/>
      <w:r w:rsidRPr="002402A8">
        <w:t>Csete</w:t>
      </w:r>
      <w:proofErr w:type="spellEnd"/>
      <w:r w:rsidRPr="002402A8">
        <w:t xml:space="preserve"> and H. Catania Methadone treatment providers’ views of drug court policy and practice: a case study of New York State, Harm Reduction Journal, 10:35, 2013.</w:t>
      </w:r>
    </w:p>
  </w:footnote>
  <w:footnote w:id="161">
    <w:p w14:paraId="45B2E6D2" w14:textId="12B319F0" w:rsidR="00876AA0" w:rsidRPr="002402A8" w:rsidRDefault="00876AA0" w:rsidP="002402A8">
      <w:pPr>
        <w:pStyle w:val="RTFootnotetext"/>
      </w:pPr>
      <w:r w:rsidRPr="002402A8">
        <w:footnoteRef/>
      </w:r>
      <w:r w:rsidRPr="002402A8">
        <w:t xml:space="preserve"> H</w:t>
      </w:r>
      <w:r>
        <w:t>.</w:t>
      </w:r>
      <w:r w:rsidRPr="002402A8">
        <w:t xml:space="preserve"> </w:t>
      </w:r>
      <w:proofErr w:type="spellStart"/>
      <w:r w:rsidRPr="002402A8">
        <w:t>Matusow</w:t>
      </w:r>
      <w:proofErr w:type="spellEnd"/>
      <w:r w:rsidRPr="002402A8">
        <w:t>, S</w:t>
      </w:r>
      <w:r>
        <w:t>.</w:t>
      </w:r>
      <w:r w:rsidRPr="002402A8">
        <w:t>L</w:t>
      </w:r>
      <w:r>
        <w:t>.</w:t>
      </w:r>
      <w:r w:rsidRPr="002402A8">
        <w:t xml:space="preserve"> </w:t>
      </w:r>
      <w:proofErr w:type="spellStart"/>
      <w:r w:rsidRPr="002402A8">
        <w:t>Dickman</w:t>
      </w:r>
      <w:proofErr w:type="spellEnd"/>
      <w:r w:rsidRPr="002402A8">
        <w:t>, J</w:t>
      </w:r>
      <w:r>
        <w:t>.</w:t>
      </w:r>
      <w:r w:rsidRPr="002402A8">
        <w:t>D</w:t>
      </w:r>
      <w:r>
        <w:t>.</w:t>
      </w:r>
      <w:r w:rsidRPr="002402A8">
        <w:t xml:space="preserve"> Rich et al.</w:t>
      </w:r>
      <w:r>
        <w:t>,</w:t>
      </w:r>
      <w:r w:rsidRPr="002402A8">
        <w:t xml:space="preserve"> Medication assisted treatment in U.S. drug courts: results from a nationwide survey of availability, barriers and attitudes. Journal of Substance Abuse Treatment 44(5):473-480, 2013. </w:t>
      </w:r>
      <w:hyperlink r:id="rId52" w:history="1">
        <w:r w:rsidRPr="002402A8">
          <w:rPr>
            <w:rStyle w:val="Hyperlink"/>
            <w:color w:val="000000" w:themeColor="text1"/>
            <w:u w:val="none"/>
          </w:rPr>
          <w:t>http://www.harmreductionjournal.com/content/10/1/35</w:t>
        </w:r>
      </w:hyperlink>
      <w:r w:rsidRPr="002402A8">
        <w:t xml:space="preserve"> </w:t>
      </w:r>
    </w:p>
  </w:footnote>
  <w:footnote w:id="162">
    <w:p w14:paraId="7B4DD2F0" w14:textId="7BF6D889" w:rsidR="00876AA0" w:rsidRPr="002402A8" w:rsidRDefault="00876AA0" w:rsidP="002402A8">
      <w:pPr>
        <w:pStyle w:val="RTFootnotetext"/>
      </w:pPr>
      <w:r w:rsidRPr="002402A8">
        <w:footnoteRef/>
      </w:r>
      <w:r w:rsidRPr="002402A8">
        <w:t xml:space="preserve"> World Health Organization, Guidelines for the Psychosocially Assisted Pharmacological Treatment of Opioid Dependence, 2009, </w:t>
      </w:r>
      <w:hyperlink r:id="rId53" w:history="1">
        <w:r w:rsidRPr="002402A8">
          <w:rPr>
            <w:rStyle w:val="Hyperlink"/>
            <w:color w:val="000000" w:themeColor="text1"/>
            <w:u w:val="none"/>
          </w:rPr>
          <w:t>www.who.int/substance_abuse/activities/treatment_opioid_dependence/en/</w:t>
        </w:r>
      </w:hyperlink>
      <w:r w:rsidRPr="002402A8">
        <w:t xml:space="preserve"> </w:t>
      </w:r>
    </w:p>
  </w:footnote>
  <w:footnote w:id="163">
    <w:p w14:paraId="73A23A6B" w14:textId="77777777" w:rsidR="00876AA0" w:rsidRPr="002402A8" w:rsidRDefault="00876AA0" w:rsidP="002402A8">
      <w:pPr>
        <w:pStyle w:val="RTFootnotetext"/>
      </w:pPr>
      <w:r w:rsidRPr="002402A8">
        <w:footnoteRef/>
      </w:r>
      <w:r w:rsidRPr="002402A8">
        <w:t xml:space="preserve"> </w:t>
      </w:r>
      <w:proofErr w:type="gramStart"/>
      <w:r w:rsidRPr="002402A8">
        <w:t>Report of the Special Rapporteur on torture and other cruel, inhuman or degrading treatment or punishment, 1 February 2013, U.N. Doc A/HRC/22/53, para.</w:t>
      </w:r>
      <w:proofErr w:type="gramEnd"/>
      <w:r w:rsidRPr="002402A8">
        <w:t xml:space="preserve"> 73</w:t>
      </w:r>
    </w:p>
  </w:footnote>
  <w:footnote w:id="164">
    <w:p w14:paraId="31A8172E" w14:textId="2B38DF34" w:rsidR="00876AA0" w:rsidRPr="002402A8" w:rsidRDefault="00876AA0" w:rsidP="002402A8">
      <w:pPr>
        <w:pStyle w:val="RTFootnotetext"/>
      </w:pPr>
      <w:r w:rsidRPr="002402A8">
        <w:footnoteRef/>
      </w:r>
      <w:r w:rsidRPr="002402A8">
        <w:t xml:space="preserve"> </w:t>
      </w:r>
      <w:proofErr w:type="gramStart"/>
      <w:r w:rsidRPr="002402A8">
        <w:t>WHO/UNODC/UNAIDS Position paper</w:t>
      </w:r>
      <w:r>
        <w:t>,</w:t>
      </w:r>
      <w:r w:rsidRPr="002402A8">
        <w:t xml:space="preserve"> </w:t>
      </w:r>
      <w:r>
        <w:t>‘</w:t>
      </w:r>
      <w:r w:rsidRPr="002402A8">
        <w:t>Substitution maintenance therapy in the management of opioid dependence and HIV/AIDS prevention</w:t>
      </w:r>
      <w:r>
        <w:t>,</w:t>
      </w:r>
      <w:r w:rsidRPr="002402A8">
        <w:t xml:space="preserve"> 2004, p.</w:t>
      </w:r>
      <w:r>
        <w:t xml:space="preserve"> </w:t>
      </w:r>
      <w:r w:rsidRPr="002402A8">
        <w:t>26.</w:t>
      </w:r>
      <w:proofErr w:type="gramEnd"/>
    </w:p>
  </w:footnote>
  <w:footnote w:id="165">
    <w:p w14:paraId="188E0060" w14:textId="7A22C1DD" w:rsidR="00876AA0" w:rsidRPr="002402A8" w:rsidRDefault="00876AA0" w:rsidP="002402A8">
      <w:pPr>
        <w:pStyle w:val="RTFootnotetext"/>
      </w:pPr>
      <w:r w:rsidRPr="002402A8">
        <w:footnoteRef/>
      </w:r>
      <w:r w:rsidRPr="002402A8">
        <w:t xml:space="preserve"> </w:t>
      </w:r>
      <w:proofErr w:type="gramStart"/>
      <w:r w:rsidRPr="002402A8">
        <w:t>UN Office on Drugs and Crime and World Health Organization</w:t>
      </w:r>
      <w:r>
        <w:t>,</w:t>
      </w:r>
      <w:r w:rsidRPr="002402A8">
        <w:t xml:space="preserve"> </w:t>
      </w:r>
      <w:r>
        <w:t>‘</w:t>
      </w:r>
      <w:r w:rsidRPr="002402A8">
        <w:t>Principles of Drug Dependence Treatment</w:t>
      </w:r>
      <w:r>
        <w:t>’,</w:t>
      </w:r>
      <w:r w:rsidRPr="002402A8">
        <w:t xml:space="preserve"> (Discussion paper) Vienna, 2008, p.1</w:t>
      </w:r>
      <w:r>
        <w:t xml:space="preserve">, </w:t>
      </w:r>
      <w:r w:rsidRPr="002402A8">
        <w:t>www.unodc.org/documents/ drug-treatment/UNODC-WHO-Principles-ofDrug-Dependence-Treatment-March08.pdf; WHO</w:t>
      </w:r>
      <w:r>
        <w:t>,</w:t>
      </w:r>
      <w:r w:rsidRPr="002402A8">
        <w:t xml:space="preserve"> </w:t>
      </w:r>
      <w:r>
        <w:t>‘</w:t>
      </w:r>
      <w:r w:rsidRPr="002402A8">
        <w:t>Guidelines for the Psychosocially Assisted Pharmacological Treatment of Opioid Dependence</w:t>
      </w:r>
      <w:r>
        <w:t>’</w:t>
      </w:r>
      <w:r w:rsidRPr="002402A8">
        <w:t>, 2009, pp. xiv-xvii.</w:t>
      </w:r>
      <w:proofErr w:type="gramEnd"/>
    </w:p>
  </w:footnote>
  <w:footnote w:id="166">
    <w:p w14:paraId="1AB1335A" w14:textId="5CAE43AD" w:rsidR="00876AA0" w:rsidRPr="002402A8" w:rsidRDefault="00876AA0" w:rsidP="002402A8">
      <w:pPr>
        <w:pStyle w:val="RTFootnotetext"/>
      </w:pPr>
      <w:r w:rsidRPr="002402A8">
        <w:footnoteRef/>
      </w:r>
      <w:r w:rsidRPr="002402A8">
        <w:t xml:space="preserve"> </w:t>
      </w:r>
      <w:proofErr w:type="gramStart"/>
      <w:r w:rsidRPr="002402A8">
        <w:t xml:space="preserve">WHO </w:t>
      </w:r>
      <w:r>
        <w:t>‘</w:t>
      </w:r>
      <w:r w:rsidRPr="002402A8">
        <w:t>Guidelines for the Psychosocially Assisted Pharmacological Treatment of Opioid Dependence</w:t>
      </w:r>
      <w:r>
        <w:t>’</w:t>
      </w:r>
      <w:r w:rsidRPr="002402A8">
        <w:t>, 2009, pp. xiv-xvii</w:t>
      </w:r>
      <w:r>
        <w:t>.</w:t>
      </w:r>
      <w:proofErr w:type="gramEnd"/>
      <w:r w:rsidRPr="002402A8" w:rsidDel="001824FB">
        <w:t xml:space="preserve"> </w:t>
      </w:r>
    </w:p>
  </w:footnote>
  <w:footnote w:id="167">
    <w:p w14:paraId="1B0BBA52" w14:textId="0C40339D" w:rsidR="00876AA0" w:rsidRPr="002402A8" w:rsidRDefault="00876AA0" w:rsidP="002402A8">
      <w:pPr>
        <w:pStyle w:val="RTFootnotetext"/>
      </w:pPr>
      <w:r w:rsidRPr="002402A8">
        <w:footnoteRef/>
      </w:r>
      <w:r w:rsidRPr="002402A8">
        <w:t xml:space="preserve"> UN Office on Drugs and Crime and World Health Organization</w:t>
      </w:r>
      <w:r>
        <w:t>,</w:t>
      </w:r>
      <w:r w:rsidRPr="002402A8">
        <w:t xml:space="preserve"> </w:t>
      </w:r>
      <w:r>
        <w:t>‘</w:t>
      </w:r>
      <w:r w:rsidRPr="002402A8">
        <w:t>Principles of Drug Dependence Treatment</w:t>
      </w:r>
      <w:r>
        <w:t>’</w:t>
      </w:r>
      <w:r w:rsidRPr="002402A8">
        <w:t xml:space="preserve"> (Discussion paper), Vienna, 2008, www.unodc.org/documents/ drug-treatment/UNODC-WHO-Principles-ofDrug-Dependence-Treatment-March08.pdf </w:t>
      </w:r>
    </w:p>
  </w:footnote>
  <w:footnote w:id="168">
    <w:p w14:paraId="2BF79F3A" w14:textId="57D11C6C" w:rsidR="00876AA0" w:rsidRPr="002402A8" w:rsidRDefault="00876AA0" w:rsidP="002402A8">
      <w:pPr>
        <w:pStyle w:val="RTFootnotetext"/>
      </w:pPr>
      <w:r w:rsidRPr="002402A8">
        <w:footnoteRef/>
      </w:r>
      <w:r w:rsidRPr="002402A8">
        <w:t xml:space="preserve"> J</w:t>
      </w:r>
      <w:r>
        <w:t>.</w:t>
      </w:r>
      <w:r w:rsidRPr="002402A8">
        <w:t xml:space="preserve"> </w:t>
      </w:r>
      <w:proofErr w:type="spellStart"/>
      <w:r w:rsidRPr="002402A8">
        <w:t>Csete</w:t>
      </w:r>
      <w:proofErr w:type="spellEnd"/>
      <w:r w:rsidRPr="002402A8">
        <w:t xml:space="preserve">, </w:t>
      </w:r>
      <w:r>
        <w:t>‘</w:t>
      </w:r>
      <w:r w:rsidRPr="002402A8">
        <w:t>Costs and Benefits of Drug-Related Health Services</w:t>
      </w:r>
      <w:r>
        <w:t>’,</w:t>
      </w:r>
      <w:r w:rsidRPr="002402A8">
        <w:t xml:space="preserve"> in Ending the Drug Wars, Report of the LSE Expert Group on the Economics of Drug Policy, p.</w:t>
      </w:r>
      <w:r>
        <w:t xml:space="preserve"> </w:t>
      </w:r>
      <w:r w:rsidRPr="002402A8">
        <w:t xml:space="preserve">75, May 2014, www.lse.ac.uk/IDEAS/publications/reports/pdf/LSE-IDEAS-DRUGS-REPORT-FINAL-WEB.pdf </w:t>
      </w:r>
    </w:p>
  </w:footnote>
  <w:footnote w:id="169">
    <w:p w14:paraId="55A439D4" w14:textId="1389E630" w:rsidR="00876AA0" w:rsidRPr="002402A8" w:rsidRDefault="00876AA0" w:rsidP="002402A8">
      <w:pPr>
        <w:pStyle w:val="RTFootnotetext"/>
      </w:pPr>
      <w:r w:rsidRPr="002402A8">
        <w:footnoteRef/>
      </w:r>
      <w:r w:rsidRPr="002402A8">
        <w:t xml:space="preserve"> E</w:t>
      </w:r>
      <w:r>
        <w:t>.</w:t>
      </w:r>
      <w:r w:rsidRPr="002402A8">
        <w:t xml:space="preserve">L. </w:t>
      </w:r>
      <w:proofErr w:type="spellStart"/>
      <w:r w:rsidRPr="002402A8">
        <w:t>Sevigny</w:t>
      </w:r>
      <w:proofErr w:type="spellEnd"/>
      <w:r w:rsidRPr="002402A8">
        <w:t xml:space="preserve"> </w:t>
      </w:r>
      <w:proofErr w:type="gramStart"/>
      <w:r w:rsidRPr="002402A8">
        <w:t>et</w:t>
      </w:r>
      <w:proofErr w:type="gramEnd"/>
      <w:r w:rsidRPr="002402A8">
        <w:t xml:space="preserve">. al., </w:t>
      </w:r>
      <w:r>
        <w:t>‘</w:t>
      </w:r>
      <w:r w:rsidRPr="002402A8">
        <w:t>Do drug courts reduce the use of incarceration</w:t>
      </w:r>
      <w:proofErr w:type="gramStart"/>
      <w:r w:rsidRPr="002402A8">
        <w:t>?:</w:t>
      </w:r>
      <w:proofErr w:type="gramEnd"/>
      <w:r w:rsidRPr="002402A8">
        <w:t xml:space="preserve"> A meta-analysis</w:t>
      </w:r>
      <w:r>
        <w:t>’,</w:t>
      </w:r>
      <w:r w:rsidRPr="002402A8">
        <w:t xml:space="preserve"> in Journal of Criminal Justice, December 2013.</w:t>
      </w:r>
    </w:p>
  </w:footnote>
  <w:footnote w:id="170">
    <w:p w14:paraId="184B57FA" w14:textId="77777777" w:rsidR="00876AA0" w:rsidRPr="00894C80" w:rsidRDefault="00876AA0" w:rsidP="002402A8">
      <w:pPr>
        <w:pStyle w:val="RTFootnotetext"/>
      </w:pPr>
      <w:r w:rsidRPr="002402A8">
        <w:footnoteRef/>
      </w:r>
      <w:r w:rsidRPr="002402A8">
        <w:t xml:space="preserve"> Interview, Obstetrician-Gynecologist Jessica Young, Nashville, TN, 30 January 2015.</w:t>
      </w:r>
    </w:p>
  </w:footnote>
  <w:footnote w:id="171">
    <w:p w14:paraId="1D7AE31F" w14:textId="19DF417C" w:rsidR="00876AA0" w:rsidRPr="00603E73" w:rsidRDefault="00876AA0" w:rsidP="00F03649">
      <w:pPr>
        <w:pStyle w:val="FootnoteText"/>
      </w:pPr>
      <w:r w:rsidRPr="00894C80">
        <w:footnoteRef/>
      </w:r>
      <w:r w:rsidRPr="00894C80">
        <w:t xml:space="preserve"> </w:t>
      </w:r>
      <w:r>
        <w:t>CESCR General Comment 14, WHO</w:t>
      </w:r>
      <w:r w:rsidRPr="00AF6120">
        <w:rPr>
          <w:szCs w:val="16"/>
        </w:rPr>
        <w:t xml:space="preserve"> </w:t>
      </w:r>
      <w:r>
        <w:rPr>
          <w:szCs w:val="16"/>
        </w:rPr>
        <w:t>‘</w:t>
      </w:r>
      <w:r w:rsidRPr="00AF6120">
        <w:rPr>
          <w:szCs w:val="16"/>
        </w:rPr>
        <w:t>Guidelines for the Psychosocially Assisted Pharmacological Treatment of Opioid Dependence</w:t>
      </w:r>
      <w:r>
        <w:rPr>
          <w:szCs w:val="16"/>
        </w:rPr>
        <w:t>’</w:t>
      </w:r>
      <w:r w:rsidRPr="00AF6120">
        <w:rPr>
          <w:szCs w:val="16"/>
        </w:rPr>
        <w:t>, 2009, pp. xiv-xvii</w:t>
      </w:r>
      <w:r>
        <w:rPr>
          <w:szCs w:val="16"/>
        </w:rPr>
        <w:t xml:space="preserve">; Joint Open Letter by the UN Working Group on Arbitrary Detention, the Special Rapporteurs on extrajudicial, summary or arbitrary executions, torture and other cruel, inhuman or degrading treatment or punishment, the right of everyone to the highest attainable standard of mental and physical health, and the Committee on the Rights of the Child, on the occasion of the United Nation General Assembly Special Session on Drugs, New York, 19-21 April 2016, </w:t>
      </w:r>
      <w:r w:rsidRPr="00234F90">
        <w:rPr>
          <w:szCs w:val="16"/>
        </w:rPr>
        <w:t>www.ohchr.org/EN/NewsEvents/Pages/DisplayNews.aspx?NewsID=19828&amp;LangID=E</w:t>
      </w:r>
      <w:r>
        <w:rPr>
          <w:szCs w:val="16"/>
        </w:rPr>
        <w:t xml:space="preserve"> </w:t>
      </w:r>
    </w:p>
    <w:p w14:paraId="0E67D2D0" w14:textId="2BAF2F69" w:rsidR="00876AA0" w:rsidRPr="00894C80" w:rsidRDefault="00876AA0" w:rsidP="00F03649">
      <w:pPr>
        <w:pStyle w:val="FootnoteText"/>
      </w:pPr>
      <w:r w:rsidRPr="002402A8">
        <w:t>UN Office on Drugs and Crim</w:t>
      </w:r>
      <w:r>
        <w:t>e and World Health Organization,</w:t>
      </w:r>
      <w:r w:rsidRPr="002402A8">
        <w:t xml:space="preserve"> Principles of Drug Dependence Treatment (Discussion paper)</w:t>
      </w:r>
      <w:r>
        <w:t>,</w:t>
      </w:r>
      <w:r w:rsidRPr="002402A8">
        <w:t xml:space="preserve"> Vienna, 2008</w:t>
      </w:r>
      <w:r>
        <w:t>,</w:t>
      </w:r>
      <w:r w:rsidRPr="00366CB8">
        <w:t xml:space="preserve"> </w:t>
      </w:r>
      <w:r>
        <w:t>;</w:t>
      </w:r>
      <w:r w:rsidRPr="00894C80">
        <w:t xml:space="preserve"> p.</w:t>
      </w:r>
      <w:r>
        <w:t xml:space="preserve"> </w:t>
      </w:r>
      <w:r w:rsidRPr="00894C80">
        <w:t>10</w:t>
      </w:r>
      <w:r>
        <w:t xml:space="preserve">,  </w:t>
      </w:r>
      <w:r w:rsidRPr="00894C80">
        <w:t>www.unodc.org/documents/ drug-treatment/UNODC-WHO-Principles-ofDrug-Dependence-Treatment-March08.pdf</w:t>
      </w:r>
      <w:r>
        <w:t xml:space="preserve"> </w:t>
      </w:r>
    </w:p>
  </w:footnote>
  <w:footnote w:id="172">
    <w:p w14:paraId="6F188132" w14:textId="7103444B" w:rsidR="00876AA0" w:rsidRPr="00F35BC4" w:rsidRDefault="00876AA0" w:rsidP="005570C4">
      <w:pPr>
        <w:pStyle w:val="FootnoteText"/>
      </w:pPr>
      <w:r w:rsidRPr="00894C80">
        <w:footnoteRef/>
      </w:r>
      <w:r w:rsidRPr="00894C80">
        <w:t xml:space="preserve"> </w:t>
      </w:r>
      <w:r>
        <w:t xml:space="preserve">Phone </w:t>
      </w:r>
      <w:r w:rsidRPr="00894C80">
        <w:t>Interview</w:t>
      </w:r>
      <w:r>
        <w:t>,</w:t>
      </w:r>
      <w:r w:rsidRPr="00894C80">
        <w:t xml:space="preserve"> Evan Sexton, </w:t>
      </w:r>
      <w:r>
        <w:t xml:space="preserve">Clinical Director, </w:t>
      </w:r>
      <w:r w:rsidRPr="00894C80">
        <w:t>Renaissance Recovery Group, Knoxville,</w:t>
      </w:r>
      <w:r>
        <w:t xml:space="preserve"> TN,</w:t>
      </w:r>
      <w:r w:rsidRPr="00894C80">
        <w:t xml:space="preserve"> </w:t>
      </w:r>
      <w:r>
        <w:t>22 February 2016</w:t>
      </w:r>
      <w:r w:rsidRPr="00894C80">
        <w:t>.</w:t>
      </w:r>
    </w:p>
  </w:footnote>
  <w:footnote w:id="173">
    <w:p w14:paraId="77AB3DAC" w14:textId="36945309" w:rsidR="00876AA0" w:rsidRPr="00F35BC4" w:rsidRDefault="00876AA0" w:rsidP="005570C4">
      <w:pPr>
        <w:pStyle w:val="FootnoteText"/>
      </w:pPr>
      <w:r w:rsidRPr="00F35BC4">
        <w:footnoteRef/>
      </w:r>
      <w:r w:rsidRPr="00F35BC4">
        <w:t xml:space="preserve"> </w:t>
      </w:r>
      <w:r>
        <w:t xml:space="preserve">Interview, </w:t>
      </w:r>
      <w:r w:rsidRPr="00F35BC4">
        <w:t xml:space="preserve">Sara Evans, </w:t>
      </w:r>
      <w:proofErr w:type="spellStart"/>
      <w:r w:rsidRPr="00F35BC4">
        <w:t>Meharry</w:t>
      </w:r>
      <w:proofErr w:type="spellEnd"/>
      <w:r w:rsidRPr="00F35BC4">
        <w:t xml:space="preserve"> Rainbow Program</w:t>
      </w:r>
      <w:r>
        <w:t>, Memphis, TN, 17 March 2015.</w:t>
      </w:r>
      <w:r w:rsidRPr="00F35BC4">
        <w:t xml:space="preserve"> </w:t>
      </w:r>
    </w:p>
  </w:footnote>
  <w:footnote w:id="174">
    <w:p w14:paraId="2BF7D7B2" w14:textId="77777777" w:rsidR="00876AA0" w:rsidRPr="00F769D6" w:rsidRDefault="00876AA0" w:rsidP="005570C4">
      <w:pPr>
        <w:pStyle w:val="FootnoteText"/>
        <w:rPr>
          <w:lang w:val="en-GB"/>
        </w:rPr>
      </w:pPr>
      <w:r>
        <w:footnoteRef/>
      </w:r>
      <w:r>
        <w:t xml:space="preserve"> </w:t>
      </w:r>
      <w:proofErr w:type="gramStart"/>
      <w:r w:rsidRPr="00E05E84">
        <w:rPr>
          <w:lang w:val="en-GB"/>
        </w:rPr>
        <w:t>Interview, Nashville Focus Group</w:t>
      </w:r>
      <w:r>
        <w:rPr>
          <w:lang w:val="en-GB"/>
        </w:rPr>
        <w:t xml:space="preserve"> with 8 women</w:t>
      </w:r>
      <w:r w:rsidRPr="00E05E84">
        <w:rPr>
          <w:lang w:val="en-GB"/>
        </w:rPr>
        <w:t>, 17 March 2015.</w:t>
      </w:r>
      <w:proofErr w:type="gramEnd"/>
    </w:p>
  </w:footnote>
  <w:footnote w:id="175">
    <w:p w14:paraId="18105870" w14:textId="77777777" w:rsidR="00876AA0" w:rsidRPr="00F35BC4" w:rsidRDefault="00876AA0" w:rsidP="005570C4">
      <w:pPr>
        <w:pStyle w:val="FootnoteText"/>
      </w:pPr>
      <w:r w:rsidRPr="00F35BC4">
        <w:footnoteRef/>
      </w:r>
      <w:r>
        <w:t xml:space="preserve"> </w:t>
      </w:r>
      <w:proofErr w:type="gramStart"/>
      <w:r>
        <w:t>Interview, Healthcare provider for drug dependent pregnant women</w:t>
      </w:r>
      <w:r w:rsidRPr="00F35BC4">
        <w:t>, October 2015</w:t>
      </w:r>
      <w:r>
        <w:t>.</w:t>
      </w:r>
      <w:proofErr w:type="gramEnd"/>
    </w:p>
  </w:footnote>
  <w:footnote w:id="176">
    <w:p w14:paraId="737D529F" w14:textId="6F14B181" w:rsidR="00876AA0" w:rsidRPr="00F35BC4" w:rsidRDefault="00876AA0" w:rsidP="005570C4">
      <w:pPr>
        <w:pStyle w:val="FootnoteText"/>
      </w:pPr>
      <w:r w:rsidRPr="00F35BC4">
        <w:footnoteRef/>
      </w:r>
      <w:r w:rsidRPr="00F35BC4">
        <w:t xml:space="preserve"> </w:t>
      </w:r>
      <w:proofErr w:type="gramStart"/>
      <w:r w:rsidRPr="00EC36EB">
        <w:t xml:space="preserve">Zac </w:t>
      </w:r>
      <w:proofErr w:type="spellStart"/>
      <w:r w:rsidRPr="00EC36EB">
        <w:t>Talbott</w:t>
      </w:r>
      <w:proofErr w:type="spellEnd"/>
      <w:r w:rsidRPr="00EC36EB">
        <w:t xml:space="preserve">, Director of the East and Middle Tennessee Chapter of the National Alliance for Medication Assisted Recovery, </w:t>
      </w:r>
      <w:r>
        <w:t xml:space="preserve">2 </w:t>
      </w:r>
      <w:r w:rsidRPr="00EC36EB">
        <w:t>October 2015</w:t>
      </w:r>
      <w:r>
        <w:t>.</w:t>
      </w:r>
      <w:proofErr w:type="gramEnd"/>
    </w:p>
  </w:footnote>
  <w:footnote w:id="177">
    <w:p w14:paraId="2B20C85E" w14:textId="66A78AB0" w:rsidR="00876AA0" w:rsidRPr="00BD4080" w:rsidRDefault="00876AA0" w:rsidP="00BD4080">
      <w:pPr>
        <w:pStyle w:val="RTFootnotetext"/>
      </w:pPr>
      <w:r w:rsidRPr="00BD4080">
        <w:footnoteRef/>
      </w:r>
      <w:r w:rsidRPr="00BD4080">
        <w:t xml:space="preserve"> Tennessee Department of Health memo to NAS Hospital Contacts From Angela M. Miller, PhD, MSPH, Epidemiologist, Division of Family Health and Wellness</w:t>
      </w:r>
      <w:r>
        <w:t xml:space="preserve">, </w:t>
      </w:r>
      <w:r w:rsidRPr="00BD4080">
        <w:t>http://tn.gov/assets/entities/health/attachments/NAS_Reporting_Border_States_06.24.2014.pdf</w:t>
      </w:r>
    </w:p>
  </w:footnote>
  <w:footnote w:id="178">
    <w:p w14:paraId="23B39418" w14:textId="58EEAB6E" w:rsidR="00876AA0" w:rsidRPr="00BD4080" w:rsidRDefault="00876AA0" w:rsidP="00BD4080">
      <w:pPr>
        <w:pStyle w:val="RTFootnotetext"/>
      </w:pPr>
      <w:r w:rsidRPr="00BD4080">
        <w:footnoteRef/>
      </w:r>
      <w:r w:rsidRPr="00BD4080">
        <w:t xml:space="preserve"> Interview with Executive Director of substance abuse treatment program for pregnant and parenting women, also see North Carolina General Assembly Senate Bill 297 </w:t>
      </w:r>
      <w:r>
        <w:t>‘</w:t>
      </w:r>
      <w:r w:rsidRPr="00BD4080">
        <w:t>Prenatal Narcotic Drug Use/Criminal Offense</w:t>
      </w:r>
      <w:r>
        <w:t>’</w:t>
      </w:r>
      <w:r w:rsidRPr="00BD4080">
        <w:t xml:space="preserve">, </w:t>
      </w:r>
      <w:r>
        <w:t>f</w:t>
      </w:r>
      <w:r w:rsidRPr="00BD4080">
        <w:t xml:space="preserve">iled </w:t>
      </w:r>
      <w:r>
        <w:t xml:space="preserve">17 </w:t>
      </w:r>
      <w:r w:rsidRPr="00BD4080">
        <w:t>Mar</w:t>
      </w:r>
      <w:r>
        <w:t xml:space="preserve">ch </w:t>
      </w:r>
      <w:r w:rsidRPr="00BD4080">
        <w:t xml:space="preserve">2015, sponsored by Senators Brent Jackson and Louis Pate, </w:t>
      </w:r>
      <w:hyperlink r:id="rId54" w:history="1">
        <w:r w:rsidRPr="00BD4080">
          <w:rPr>
            <w:rStyle w:val="Hyperlink"/>
            <w:color w:val="000000" w:themeColor="text1"/>
            <w:u w:val="none"/>
          </w:rPr>
          <w:t>www.ncga.state.nc.us/Applications/BillLookUp/LoadBillDocument.aspx?SessionCode=2015&amp;DocNum=1229&amp;SeqNum=0</w:t>
        </w:r>
      </w:hyperlink>
      <w:r w:rsidRPr="00BD4080">
        <w:t xml:space="preserve"> </w:t>
      </w:r>
    </w:p>
  </w:footnote>
  <w:footnote w:id="179">
    <w:p w14:paraId="3F671CF7" w14:textId="74144FFC" w:rsidR="00876AA0" w:rsidRPr="00BD4080" w:rsidRDefault="00876AA0" w:rsidP="00BD4080">
      <w:pPr>
        <w:pStyle w:val="RTFootnotetext"/>
      </w:pPr>
      <w:r w:rsidRPr="00BD4080">
        <w:footnoteRef/>
      </w:r>
      <w:r w:rsidRPr="00BD4080">
        <w:t xml:space="preserve"> Interview, Labor a</w:t>
      </w:r>
      <w:r>
        <w:t>nd Delivery Nurse, Nashville, 6 September</w:t>
      </w:r>
      <w:r w:rsidRPr="00BD4080">
        <w:t xml:space="preserve"> 2015</w:t>
      </w:r>
      <w:r>
        <w:t>.</w:t>
      </w:r>
    </w:p>
  </w:footnote>
  <w:footnote w:id="180">
    <w:p w14:paraId="71CF0CF0" w14:textId="08B3FE9A" w:rsidR="00876AA0" w:rsidRPr="00BD4080" w:rsidRDefault="00876AA0" w:rsidP="00BD4080">
      <w:pPr>
        <w:pStyle w:val="RTFootnotetext"/>
      </w:pPr>
      <w:r w:rsidRPr="00BD4080">
        <w:footnoteRef/>
      </w:r>
      <w:r w:rsidRPr="00BD4080">
        <w:t xml:space="preserve"> </w:t>
      </w:r>
      <w:r w:rsidRPr="00BD4080">
        <w:rPr>
          <w:rStyle w:val="FootnoteTextChar"/>
        </w:rPr>
        <w:t xml:space="preserve">C. Miller, A. Lanham, C. Welsh, S. </w:t>
      </w:r>
      <w:proofErr w:type="spellStart"/>
      <w:r w:rsidRPr="00BD4080">
        <w:t>Ramanadhan</w:t>
      </w:r>
      <w:proofErr w:type="spellEnd"/>
      <w:r w:rsidRPr="00BD4080">
        <w:t xml:space="preserve"> &amp; M. </w:t>
      </w:r>
      <w:proofErr w:type="spellStart"/>
      <w:r w:rsidRPr="00BD4080">
        <w:t>Terplan</w:t>
      </w:r>
      <w:proofErr w:type="spellEnd"/>
      <w:r w:rsidRPr="00BD4080">
        <w:t xml:space="preserve">, </w:t>
      </w:r>
      <w:r>
        <w:t>‘</w:t>
      </w:r>
      <w:r w:rsidRPr="00BD4080">
        <w:t>Screening, Testing, and Reporting for Drug and</w:t>
      </w:r>
    </w:p>
    <w:p w14:paraId="6BC277A9" w14:textId="0136B1A2" w:rsidR="00876AA0" w:rsidRPr="00BD4080" w:rsidRDefault="00876AA0" w:rsidP="00BD4080">
      <w:pPr>
        <w:pStyle w:val="RTFootnotetext"/>
      </w:pPr>
      <w:r w:rsidRPr="00BD4080">
        <w:t>Alcohol Use on Labor and Delivery: A Survey of Maryland Birthing Hospitals</w:t>
      </w:r>
      <w:r>
        <w:t>’</w:t>
      </w:r>
      <w:r w:rsidRPr="00BD4080">
        <w:t>, Social Work in Health</w:t>
      </w:r>
      <w:r>
        <w:t xml:space="preserve"> </w:t>
      </w:r>
      <w:r w:rsidRPr="00BD4080">
        <w:t>Care, 53:7, 659-669, 2014.</w:t>
      </w:r>
    </w:p>
  </w:footnote>
  <w:footnote w:id="181">
    <w:p w14:paraId="1E757473" w14:textId="2A494BD3" w:rsidR="00876AA0" w:rsidRPr="00BD4080" w:rsidRDefault="00876AA0" w:rsidP="00BD4080">
      <w:pPr>
        <w:pStyle w:val="RTFootnotetext"/>
      </w:pPr>
      <w:r w:rsidRPr="00BD4080">
        <w:footnoteRef/>
      </w:r>
      <w:r w:rsidRPr="00BD4080">
        <w:t xml:space="preserve"> American College of Obstetricians and Gynecologists, “Committee Opinion: Opioid Abuse, Dependence, and Addiction in Pregnancy,” Number 524, p.</w:t>
      </w:r>
      <w:r>
        <w:t xml:space="preserve"> </w:t>
      </w:r>
      <w:r w:rsidRPr="00BD4080">
        <w:t xml:space="preserve">3, May 2012, </w:t>
      </w:r>
      <w:hyperlink r:id="rId55" w:history="1">
        <w:r w:rsidRPr="00BD4080">
          <w:rPr>
            <w:rStyle w:val="Hyperlink"/>
            <w:color w:val="000000" w:themeColor="text1"/>
            <w:u w:val="none"/>
          </w:rPr>
          <w:t>www.acog.org/Resources-And-Publications/Committee-Opinions/Committee-on-Health-Care-for-Underserved-Women/Opioid-Abuse-Dependence-and-Addiction-in-Pregnancy</w:t>
        </w:r>
      </w:hyperlink>
      <w:r w:rsidRPr="00BD4080">
        <w:t xml:space="preserve"> </w:t>
      </w:r>
    </w:p>
  </w:footnote>
  <w:footnote w:id="182">
    <w:p w14:paraId="61B57723" w14:textId="0DFEC584" w:rsidR="00876AA0" w:rsidRPr="00BD4080" w:rsidRDefault="00876AA0" w:rsidP="00BD4080">
      <w:pPr>
        <w:pStyle w:val="RTFootnotetext"/>
      </w:pPr>
      <w:r w:rsidRPr="00BD4080">
        <w:footnoteRef/>
      </w:r>
      <w:r w:rsidRPr="00BD4080">
        <w:t xml:space="preserve"> Interview, Labor and </w:t>
      </w:r>
      <w:r>
        <w:t>Delivery Nurse, Nashville, TN, 6 September</w:t>
      </w:r>
      <w:r w:rsidRPr="00BD4080">
        <w:t xml:space="preserve"> 2015</w:t>
      </w:r>
      <w:r>
        <w:t>.</w:t>
      </w:r>
    </w:p>
  </w:footnote>
  <w:footnote w:id="183">
    <w:p w14:paraId="27ADDC65" w14:textId="01EC1606" w:rsidR="00876AA0" w:rsidRPr="00BD4080" w:rsidRDefault="00876AA0" w:rsidP="00BD4080">
      <w:pPr>
        <w:pStyle w:val="RTFootnotetext"/>
      </w:pPr>
      <w:r w:rsidRPr="00BD4080">
        <w:footnoteRef/>
      </w:r>
      <w:r w:rsidRPr="00BD4080">
        <w:t xml:space="preserve"> Interview, Neonatal Intensive Ca</w:t>
      </w:r>
      <w:r>
        <w:t>re Unit Nurse, Nashville, TN, 7 September 2015.</w:t>
      </w:r>
    </w:p>
  </w:footnote>
  <w:footnote w:id="184">
    <w:p w14:paraId="33B7F111" w14:textId="59159914" w:rsidR="00876AA0" w:rsidRPr="00BD4080" w:rsidRDefault="00876AA0" w:rsidP="00BD4080">
      <w:pPr>
        <w:pStyle w:val="RTFootnotetext"/>
      </w:pPr>
      <w:r w:rsidRPr="00BD4080">
        <w:footnoteRef/>
      </w:r>
      <w:r w:rsidRPr="00BD4080">
        <w:t xml:space="preserve"> Interview, Neonatal Intensive Care Unit Nurse, </w:t>
      </w:r>
      <w:r>
        <w:t>Nashville, TN, 7 September 2015.</w:t>
      </w:r>
    </w:p>
  </w:footnote>
  <w:footnote w:id="185">
    <w:p w14:paraId="32A7D92A" w14:textId="2C9E7740" w:rsidR="00876AA0" w:rsidRPr="00BD4080" w:rsidRDefault="00876AA0" w:rsidP="00BD4080">
      <w:pPr>
        <w:pStyle w:val="RTFootnotetext"/>
      </w:pPr>
      <w:r w:rsidRPr="00BD4080">
        <w:footnoteRef/>
      </w:r>
      <w:r w:rsidRPr="00BD4080">
        <w:t xml:space="preserve"> Interview, Neonatal Intensive Care Unit Nurse, Nashville, TN, 7 September 2015</w:t>
      </w:r>
      <w:r>
        <w:t>.</w:t>
      </w:r>
    </w:p>
  </w:footnote>
  <w:footnote w:id="186">
    <w:p w14:paraId="6C42FEBD" w14:textId="56519AB4" w:rsidR="00876AA0" w:rsidRPr="00BD4080" w:rsidRDefault="00876AA0" w:rsidP="00BD4080">
      <w:pPr>
        <w:pStyle w:val="RTFootnotetext"/>
      </w:pPr>
      <w:r w:rsidRPr="00BD4080">
        <w:footnoteRef/>
      </w:r>
      <w:r w:rsidRPr="00BD4080">
        <w:t xml:space="preserve"> Interview, Labor and Delivery Nurse, </w:t>
      </w:r>
      <w:r>
        <w:t>Nashville, TN, 6 September 2015.</w:t>
      </w:r>
    </w:p>
  </w:footnote>
  <w:footnote w:id="187">
    <w:p w14:paraId="61339ABC" w14:textId="77777777" w:rsidR="00876AA0" w:rsidRPr="00EE3022" w:rsidRDefault="00876AA0" w:rsidP="00BD4080">
      <w:pPr>
        <w:pStyle w:val="RTFootnotetext"/>
      </w:pPr>
      <w:r w:rsidRPr="00BD4080">
        <w:footnoteRef/>
      </w:r>
      <w:r w:rsidRPr="00BD4080">
        <w:t xml:space="preserve"> Interview, Stephen Patrick, Division of Neonatology, Vanderbilt School of Medicine, Nashville, TN, 29 March 2015.</w:t>
      </w:r>
    </w:p>
  </w:footnote>
  <w:footnote w:id="188">
    <w:p w14:paraId="268432AB" w14:textId="0C09A84E" w:rsidR="00876AA0" w:rsidRPr="00462C20" w:rsidRDefault="00876AA0" w:rsidP="00462C20">
      <w:pPr>
        <w:pStyle w:val="RTFootnotetext"/>
      </w:pPr>
      <w:r w:rsidRPr="00462C20">
        <w:rPr>
          <w:rStyle w:val="FootnoteReference"/>
          <w:vertAlign w:val="baseline"/>
        </w:rPr>
        <w:footnoteRef/>
      </w:r>
      <w:r w:rsidRPr="00462C20">
        <w:t xml:space="preserve"> </w:t>
      </w:r>
      <w:r w:rsidRPr="00C02572">
        <w:t xml:space="preserve">Interview, Nina Martin, Nashville, TN, 2 October 2015, </w:t>
      </w:r>
      <w:r>
        <w:t>a</w:t>
      </w:r>
      <w:r w:rsidRPr="00C02572">
        <w:t xml:space="preserve">lso see: </w:t>
      </w:r>
      <w:r>
        <w:t>‘</w:t>
      </w:r>
      <w:r w:rsidRPr="00C02572">
        <w:t>How We Identified Alabama Pregnancy Prosecutions</w:t>
      </w:r>
      <w:r>
        <w:t>’,</w:t>
      </w:r>
      <w:r w:rsidRPr="00C02572">
        <w:t xml:space="preserve"> www.propublica.org/article/how-we-identified-alabama-pregnancy-prosecution</w:t>
      </w:r>
      <w:r>
        <w:t>s</w:t>
      </w:r>
    </w:p>
  </w:footnote>
  <w:footnote w:id="189">
    <w:p w14:paraId="3898858A" w14:textId="698A73D4" w:rsidR="00876AA0" w:rsidRPr="00462C20" w:rsidRDefault="00876AA0" w:rsidP="00462C20">
      <w:pPr>
        <w:pStyle w:val="RTFootnotetext"/>
      </w:pPr>
      <w:r w:rsidRPr="00462C20">
        <w:rPr>
          <w:rStyle w:val="FootnoteReference"/>
          <w:vertAlign w:val="baseline"/>
        </w:rPr>
        <w:footnoteRef/>
      </w:r>
      <w:r w:rsidRPr="00462C20">
        <w:t xml:space="preserve"> </w:t>
      </w:r>
      <w:proofErr w:type="gramStart"/>
      <w:r w:rsidRPr="00462C20">
        <w:t xml:space="preserve">Focus Group with 26 women, Birmingham, AL, </w:t>
      </w:r>
      <w:r>
        <w:t>19 March, 2015</w:t>
      </w:r>
      <w:r w:rsidRPr="00462C20">
        <w:t xml:space="preserve">; </w:t>
      </w:r>
      <w:r>
        <w:t>i</w:t>
      </w:r>
      <w:r w:rsidRPr="00462C20">
        <w:t>nterview, Brian White, Defense Lawyer, Decatur, AL, 16 March 2015.</w:t>
      </w:r>
      <w:proofErr w:type="gramEnd"/>
    </w:p>
  </w:footnote>
  <w:footnote w:id="190">
    <w:p w14:paraId="4E47DA8B" w14:textId="07715C5D" w:rsidR="00876AA0" w:rsidRPr="00B5083F" w:rsidRDefault="00876AA0" w:rsidP="00462C20">
      <w:pPr>
        <w:pStyle w:val="RTFootnotetext"/>
      </w:pPr>
      <w:r w:rsidRPr="00462C20">
        <w:rPr>
          <w:rStyle w:val="FootnoteReference"/>
          <w:vertAlign w:val="baseline"/>
        </w:rPr>
        <w:footnoteRef/>
      </w:r>
      <w:r w:rsidRPr="00462C20">
        <w:t xml:space="preserve"> See: Physicians for Human Rights and the School of Public Health and Primary </w:t>
      </w:r>
      <w:r>
        <w:t>Healthcare</w:t>
      </w:r>
      <w:r w:rsidRPr="00462C20">
        <w:t>, University of Cape Town, Health Sciences Faculty</w:t>
      </w:r>
      <w:r>
        <w:t>.</w:t>
      </w:r>
      <w:r w:rsidRPr="00462C20">
        <w:t xml:space="preserve"> </w:t>
      </w:r>
      <w:r>
        <w:t>‘</w:t>
      </w:r>
      <w:r w:rsidRPr="00462C20">
        <w:t>Dual Loyalty &amp; Human Rights: In Health Professional Practice; Proposed Guidelines &amp; Institutional Mechanisms</w:t>
      </w:r>
      <w:r>
        <w:t>’,</w:t>
      </w:r>
      <w:r w:rsidRPr="00462C20">
        <w:t xml:space="preserve"> 2002.</w:t>
      </w:r>
    </w:p>
  </w:footnote>
  <w:footnote w:id="191">
    <w:p w14:paraId="1557E1B0" w14:textId="48A2677F" w:rsidR="00876AA0" w:rsidRPr="00462C20" w:rsidRDefault="00876AA0" w:rsidP="00462C20">
      <w:pPr>
        <w:pStyle w:val="FootnoteText"/>
      </w:pPr>
      <w:r w:rsidRPr="00462C20">
        <w:rPr>
          <w:rStyle w:val="FootnoteReference"/>
          <w:vertAlign w:val="baseline"/>
        </w:rPr>
        <w:footnoteRef/>
      </w:r>
      <w:r w:rsidRPr="00462C20">
        <w:t xml:space="preserve"> Alabama Code Section 26-15-3.2: Chemical Endangerment of Exposing </w:t>
      </w:r>
      <w:proofErr w:type="gramStart"/>
      <w:r w:rsidRPr="00462C20">
        <w:t>A</w:t>
      </w:r>
      <w:proofErr w:type="gramEnd"/>
      <w:r w:rsidRPr="00462C20">
        <w:t xml:space="preserve"> Child to an Environment in Which Controlled Substances are Produced or Distributed.</w:t>
      </w:r>
    </w:p>
    <w:p w14:paraId="6779E983" w14:textId="2BDBF5C0" w:rsidR="00876AA0" w:rsidRPr="00462C20" w:rsidRDefault="00876AA0" w:rsidP="00462C20">
      <w:pPr>
        <w:pStyle w:val="FootnoteText"/>
      </w:pPr>
      <w:r w:rsidRPr="00462C20">
        <w:t>(a) A responsible person commits the crime of chemical endangerment of exposing a child to an environment in which he or she does any of the following:</w:t>
      </w:r>
    </w:p>
    <w:p w14:paraId="4B0038DB" w14:textId="77777777" w:rsidR="00876AA0" w:rsidRPr="00462C20" w:rsidRDefault="00876AA0" w:rsidP="00462C20">
      <w:pPr>
        <w:pStyle w:val="FootnoteText"/>
      </w:pPr>
      <w:r w:rsidRPr="00462C20">
        <w:t>(1) Knowingly, recklessly, or intentionally causes or permits a child to be exposed to, to ingest or inhale, or to have contact with a controlled substance, chemical substance, or drug paraphernalia as defined in Section 13A-12-260. A violation under this subdivision is a Class C felony.</w:t>
      </w:r>
    </w:p>
    <w:p w14:paraId="62920379" w14:textId="77777777" w:rsidR="00876AA0" w:rsidRPr="00462C20" w:rsidRDefault="00876AA0" w:rsidP="00462C20">
      <w:pPr>
        <w:pStyle w:val="FootnoteText"/>
      </w:pPr>
      <w:r w:rsidRPr="00462C20">
        <w:t>(2) Violates subdivision (1) and a child suffers serious physical injury by exposure to, ingestion of, inhalation of, or contact with a controlled substance, chemical substance, or drug paraphernalia. A violation under this subdivision is a Class B felony.</w:t>
      </w:r>
    </w:p>
    <w:p w14:paraId="169C119A" w14:textId="77777777" w:rsidR="00876AA0" w:rsidRPr="00462C20" w:rsidRDefault="00876AA0" w:rsidP="00462C20">
      <w:pPr>
        <w:pStyle w:val="FootnoteText"/>
      </w:pPr>
      <w:r w:rsidRPr="00462C20">
        <w:t xml:space="preserve">(3) Violates subdivision (1) and the exposure, ingestion, inhalation, or contact results in the death of the child. A violation under this subdivision is a Class A felony. </w:t>
      </w:r>
      <w:proofErr w:type="gramStart"/>
      <w:r w:rsidRPr="00462C20">
        <w:t>Ala. Code § 26-15-3.2 (LexisNexis 2014).</w:t>
      </w:r>
      <w:proofErr w:type="gramEnd"/>
    </w:p>
  </w:footnote>
  <w:footnote w:id="192">
    <w:p w14:paraId="7C5BEFD9" w14:textId="4CA7BD7C" w:rsidR="00876AA0" w:rsidRPr="00462C20" w:rsidRDefault="00876AA0" w:rsidP="00462C20">
      <w:pPr>
        <w:pStyle w:val="FootnoteText"/>
      </w:pPr>
      <w:r w:rsidRPr="00462C20">
        <w:rPr>
          <w:rStyle w:val="FootnoteReference"/>
          <w:vertAlign w:val="baseline"/>
        </w:rPr>
        <w:footnoteRef/>
      </w:r>
      <w:r w:rsidRPr="00462C20">
        <w:t xml:space="preserve"> See Ex parte Hope Elisabeth </w:t>
      </w:r>
      <w:proofErr w:type="spellStart"/>
      <w:r w:rsidRPr="00462C20">
        <w:t>Ankrom</w:t>
      </w:r>
      <w:proofErr w:type="spellEnd"/>
      <w:r w:rsidRPr="00462C20">
        <w:t xml:space="preserve"> Petition for Writ of Certiorari, Nos. 1110176, 1110219, 2013 WL</w:t>
      </w:r>
      <w:r>
        <w:t>.</w:t>
      </w:r>
    </w:p>
    <w:p w14:paraId="0F47F66B" w14:textId="1BCAE71D" w:rsidR="00876AA0" w:rsidRPr="00462C20" w:rsidRDefault="00876AA0" w:rsidP="00462C20">
      <w:pPr>
        <w:pStyle w:val="FootnoteText"/>
      </w:pPr>
      <w:proofErr w:type="gramStart"/>
      <w:r w:rsidRPr="00462C20">
        <w:t xml:space="preserve">135748 (Ala. Jan. 11, 2013); Ex parte Sarah Janie Hicks, No. 1110620, 2014 WL 1508698 (Ala. </w:t>
      </w:r>
      <w:r>
        <w:t xml:space="preserve">18 </w:t>
      </w:r>
      <w:r w:rsidRPr="00462C20">
        <w:t>April</w:t>
      </w:r>
      <w:r>
        <w:t xml:space="preserve"> </w:t>
      </w:r>
      <w:r w:rsidRPr="00462C20">
        <w:t>2014)</w:t>
      </w:r>
      <w:r>
        <w:t>.</w:t>
      </w:r>
      <w:proofErr w:type="gramEnd"/>
    </w:p>
  </w:footnote>
  <w:footnote w:id="193">
    <w:p w14:paraId="56C52549" w14:textId="5A1D17E2" w:rsidR="00876AA0" w:rsidRPr="00462C20" w:rsidRDefault="00876AA0" w:rsidP="00462C20">
      <w:pPr>
        <w:pStyle w:val="FootnoteText"/>
      </w:pPr>
      <w:r w:rsidRPr="00462C20">
        <w:rPr>
          <w:rStyle w:val="FootnoteReference"/>
          <w:vertAlign w:val="baseline"/>
        </w:rPr>
        <w:footnoteRef/>
      </w:r>
      <w:r w:rsidRPr="00462C20">
        <w:t xml:space="preserve"> See Ex parte Hope Elisabeth </w:t>
      </w:r>
      <w:proofErr w:type="spellStart"/>
      <w:r w:rsidRPr="00462C20">
        <w:t>Ankrom</w:t>
      </w:r>
      <w:proofErr w:type="spellEnd"/>
      <w:r w:rsidRPr="00462C20">
        <w:t xml:space="preserve"> Petition for Writ of Certiorari, Nos. 1110176, 1110219, 2013 WL</w:t>
      </w:r>
      <w:r>
        <w:t>.</w:t>
      </w:r>
    </w:p>
    <w:p w14:paraId="6434471F" w14:textId="52110219" w:rsidR="00876AA0" w:rsidRPr="00462C20" w:rsidRDefault="00876AA0" w:rsidP="00462C20">
      <w:pPr>
        <w:pStyle w:val="FootnoteText"/>
      </w:pPr>
      <w:proofErr w:type="gramStart"/>
      <w:r w:rsidRPr="00462C20">
        <w:t xml:space="preserve">135748, (Ala. Jan. 11, 2013); Ex parte Sarah Janie Hicks, No. 1110620, 2014 WL 1508698 (Ala. </w:t>
      </w:r>
      <w:r>
        <w:t xml:space="preserve">18 </w:t>
      </w:r>
      <w:r w:rsidRPr="00462C20">
        <w:t>April 2014).</w:t>
      </w:r>
      <w:proofErr w:type="gramEnd"/>
    </w:p>
  </w:footnote>
  <w:footnote w:id="194">
    <w:p w14:paraId="449955CA" w14:textId="77777777" w:rsidR="00876AA0" w:rsidRPr="00B5083F" w:rsidRDefault="00876AA0" w:rsidP="00462C20">
      <w:pPr>
        <w:pStyle w:val="FootnoteText"/>
      </w:pPr>
      <w:r w:rsidRPr="00462C20">
        <w:rPr>
          <w:rStyle w:val="FootnoteReference"/>
          <w:vertAlign w:val="baseline"/>
        </w:rPr>
        <w:footnoteRef/>
      </w:r>
      <w:r w:rsidRPr="00462C20">
        <w:t xml:space="preserve"> Interview, Brian White, Defense Lawyer, Decatur, AL, 16 March 2015.</w:t>
      </w:r>
    </w:p>
  </w:footnote>
  <w:footnote w:id="195">
    <w:p w14:paraId="3FCED22F" w14:textId="77777777" w:rsidR="00876AA0" w:rsidRPr="007C5B60" w:rsidRDefault="00876AA0" w:rsidP="007C5B60">
      <w:pPr>
        <w:pStyle w:val="RTFootnotetext"/>
      </w:pPr>
      <w:r w:rsidRPr="007C5B60">
        <w:rPr>
          <w:rStyle w:val="FootnoteReference"/>
          <w:vertAlign w:val="baseline"/>
        </w:rPr>
        <w:footnoteRef/>
      </w:r>
      <w:r w:rsidRPr="007C5B60">
        <w:t xml:space="preserve"> Interview, Brian White, Defense Lawyer, Decatur, AL, 16 March 2015.</w:t>
      </w:r>
    </w:p>
  </w:footnote>
  <w:footnote w:id="196">
    <w:p w14:paraId="7C623235" w14:textId="77777777" w:rsidR="00876AA0" w:rsidRPr="007C5B60" w:rsidRDefault="00876AA0" w:rsidP="007C5B60">
      <w:pPr>
        <w:pStyle w:val="RTFootnotetext"/>
      </w:pPr>
      <w:r w:rsidRPr="007C5B60">
        <w:rPr>
          <w:rStyle w:val="FootnoteReference"/>
          <w:vertAlign w:val="baseline"/>
        </w:rPr>
        <w:footnoteRef/>
      </w:r>
      <w:r w:rsidRPr="007C5B60">
        <w:t xml:space="preserve"> Interview, Brian White, Defense Lawyer, Decatur, AL, 16 March 2015.</w:t>
      </w:r>
    </w:p>
  </w:footnote>
  <w:footnote w:id="197">
    <w:p w14:paraId="5E2D12FD" w14:textId="14C8DEDE" w:rsidR="00876AA0" w:rsidRPr="007C5B60" w:rsidRDefault="00876AA0" w:rsidP="007C5B60">
      <w:pPr>
        <w:pStyle w:val="RTFootnotetext"/>
      </w:pPr>
      <w:r w:rsidRPr="007C5B60">
        <w:rPr>
          <w:rStyle w:val="FootnoteReference"/>
          <w:vertAlign w:val="baseline"/>
        </w:rPr>
        <w:footnoteRef/>
      </w:r>
      <w:r w:rsidRPr="007C5B60">
        <w:t xml:space="preserve"> Brief of Amicus Curiae in Support of Petition of</w:t>
      </w:r>
      <w:r>
        <w:t xml:space="preserve"> Amanda </w:t>
      </w:r>
      <w:proofErr w:type="spellStart"/>
      <w:r>
        <w:t>Helaine</w:t>
      </w:r>
      <w:proofErr w:type="spellEnd"/>
      <w:r>
        <w:t xml:space="preserve"> Kimbrough</w:t>
      </w:r>
      <w:r w:rsidRPr="007C5B60">
        <w:t xml:space="preserve"> in Ex Parte Amanda </w:t>
      </w:r>
      <w:proofErr w:type="spellStart"/>
      <w:r w:rsidRPr="007C5B60">
        <w:t>Helaine</w:t>
      </w:r>
      <w:proofErr w:type="spellEnd"/>
      <w:r w:rsidRPr="007C5B60">
        <w:t xml:space="preserve"> Kimbrough in re State of Alabama vs Amanda </w:t>
      </w:r>
      <w:proofErr w:type="spellStart"/>
      <w:r w:rsidRPr="007C5B60">
        <w:t>Helaine</w:t>
      </w:r>
      <w:proofErr w:type="spellEnd"/>
      <w:r w:rsidRPr="007C5B60">
        <w:t xml:space="preserve"> Kimbrough no. 11-10219 (2012)</w:t>
      </w:r>
      <w:r>
        <w:t>, p. 28</w:t>
      </w:r>
      <w:r w:rsidRPr="007C5B60">
        <w:t>.</w:t>
      </w:r>
    </w:p>
  </w:footnote>
  <w:footnote w:id="198">
    <w:p w14:paraId="023E57F2" w14:textId="791AA6D0" w:rsidR="00876AA0" w:rsidRPr="007C5B60" w:rsidRDefault="00876AA0" w:rsidP="007C5B60">
      <w:pPr>
        <w:pStyle w:val="RTFootnotetext"/>
      </w:pPr>
      <w:r w:rsidRPr="007C5B60">
        <w:rPr>
          <w:rStyle w:val="FootnoteReference"/>
          <w:vertAlign w:val="baseline"/>
        </w:rPr>
        <w:footnoteRef/>
      </w:r>
      <w:r w:rsidRPr="007C5B60">
        <w:t xml:space="preserve"> Brief of Amicus Curiae in Support of Petition </w:t>
      </w:r>
      <w:r>
        <w:t xml:space="preserve">of Amanda </w:t>
      </w:r>
      <w:proofErr w:type="spellStart"/>
      <w:r>
        <w:t>Helaine</w:t>
      </w:r>
      <w:proofErr w:type="spellEnd"/>
      <w:r>
        <w:t xml:space="preserve"> Kimbrough</w:t>
      </w:r>
      <w:r w:rsidRPr="007C5B60">
        <w:t xml:space="preserve"> in Ex Parte Amanda </w:t>
      </w:r>
      <w:proofErr w:type="spellStart"/>
      <w:r w:rsidRPr="007C5B60">
        <w:t>Helaine</w:t>
      </w:r>
      <w:proofErr w:type="spellEnd"/>
      <w:r w:rsidRPr="007C5B60">
        <w:t xml:space="preserve"> Kimbrough in re State of Alabama vs Amanda </w:t>
      </w:r>
      <w:proofErr w:type="spellStart"/>
      <w:r w:rsidRPr="007C5B60">
        <w:t>Helaine</w:t>
      </w:r>
      <w:proofErr w:type="spellEnd"/>
      <w:r w:rsidRPr="007C5B60">
        <w:t xml:space="preserve"> Kimbrough no. 11-10219 (2012)</w:t>
      </w:r>
      <w:r>
        <w:t>, p. 28</w:t>
      </w:r>
      <w:r w:rsidRPr="007C5B60">
        <w:t>.</w:t>
      </w:r>
    </w:p>
  </w:footnote>
  <w:footnote w:id="199">
    <w:p w14:paraId="601FE5D0" w14:textId="0E7E744C" w:rsidR="00876AA0" w:rsidRPr="007C5B60" w:rsidRDefault="00876AA0" w:rsidP="007C5B60">
      <w:pPr>
        <w:pStyle w:val="RTFootnotetext"/>
      </w:pPr>
      <w:r w:rsidRPr="007C5B60">
        <w:rPr>
          <w:rStyle w:val="FootnoteReference"/>
          <w:vertAlign w:val="baseline"/>
        </w:rPr>
        <w:footnoteRef/>
      </w:r>
      <w:r w:rsidRPr="007C5B60">
        <w:t xml:space="preserve"> Alabama Code Section 26-15-3.2: Chemical Endangerment of Exposing </w:t>
      </w:r>
      <w:proofErr w:type="gramStart"/>
      <w:r w:rsidRPr="007C5B60">
        <w:t>A</w:t>
      </w:r>
      <w:proofErr w:type="gramEnd"/>
      <w:r w:rsidRPr="007C5B60">
        <w:t xml:space="preserve"> Child to an Environment in Which Controlled Substances are Produced or Distributed; Alabama Code Section 26-14-3: Reporting of Child Abuse or Neglect</w:t>
      </w:r>
      <w:r>
        <w:t>.</w:t>
      </w:r>
      <w:r w:rsidRPr="007C5B60">
        <w:t xml:space="preserve"> </w:t>
      </w:r>
    </w:p>
  </w:footnote>
  <w:footnote w:id="200">
    <w:p w14:paraId="42C054F9" w14:textId="77777777" w:rsidR="00876AA0" w:rsidRPr="007C5B60" w:rsidRDefault="00876AA0" w:rsidP="007C5B60">
      <w:pPr>
        <w:pStyle w:val="RTFootnotetext"/>
      </w:pPr>
      <w:r w:rsidRPr="007C5B60">
        <w:rPr>
          <w:rStyle w:val="FootnoteReference"/>
          <w:vertAlign w:val="baseline"/>
        </w:rPr>
        <w:footnoteRef/>
      </w:r>
      <w:r w:rsidRPr="007C5B60">
        <w:t xml:space="preserve"> Interview, Brian White, Defense Lawyer, Decatur, AL, 16 March 2015.</w:t>
      </w:r>
    </w:p>
  </w:footnote>
  <w:footnote w:id="201">
    <w:p w14:paraId="6788AA53" w14:textId="796B7DB3" w:rsidR="00876AA0" w:rsidRPr="00B5083F" w:rsidRDefault="00876AA0" w:rsidP="007C5B60">
      <w:pPr>
        <w:pStyle w:val="RTFootnotetext"/>
      </w:pPr>
      <w:r w:rsidRPr="007C5B60">
        <w:rPr>
          <w:rStyle w:val="FootnoteReference"/>
          <w:vertAlign w:val="baseline"/>
        </w:rPr>
        <w:footnoteRef/>
      </w:r>
      <w:r w:rsidRPr="007C5B60">
        <w:t xml:space="preserve"> Interview, Department of Human Resources Barry Spear, Public Information Manager and Carolyn </w:t>
      </w:r>
      <w:proofErr w:type="spellStart"/>
      <w:r w:rsidRPr="007C5B60">
        <w:t>Lapsley</w:t>
      </w:r>
      <w:proofErr w:type="spellEnd"/>
      <w:r w:rsidRPr="007C5B60">
        <w:t>, Deputy Commissioner of Children and F</w:t>
      </w:r>
      <w:r>
        <w:t>amily Services, 26 January 2015;</w:t>
      </w:r>
      <w:r w:rsidRPr="007C5B60">
        <w:t xml:space="preserve"> </w:t>
      </w:r>
      <w:r>
        <w:t>i</w:t>
      </w:r>
      <w:r w:rsidRPr="007C5B60">
        <w:t>nterview, District Attorney Jimmie Harp, Gadsden, AL, 28</w:t>
      </w:r>
      <w:r>
        <w:t xml:space="preserve"> January 2015;</w:t>
      </w:r>
      <w:r w:rsidRPr="007C5B60">
        <w:t xml:space="preserve"> </w:t>
      </w:r>
      <w:r>
        <w:t>i</w:t>
      </w:r>
      <w:r w:rsidRPr="007C5B60">
        <w:t xml:space="preserve">nterview, District Attorney Steve Marshall, Guntersville, AL, </w:t>
      </w:r>
      <w:r>
        <w:t xml:space="preserve">18 </w:t>
      </w:r>
      <w:r w:rsidRPr="007C5B60">
        <w:t>March 2015.</w:t>
      </w:r>
    </w:p>
  </w:footnote>
  <w:footnote w:id="202">
    <w:p w14:paraId="00FB1224" w14:textId="77777777" w:rsidR="00876AA0" w:rsidRPr="007C5B60" w:rsidRDefault="00876AA0" w:rsidP="007C5B60">
      <w:pPr>
        <w:pStyle w:val="RTFootnotetext"/>
      </w:pPr>
      <w:r w:rsidRPr="007C5B60">
        <w:rPr>
          <w:rStyle w:val="FootnoteReference"/>
          <w:vertAlign w:val="baseline"/>
        </w:rPr>
        <w:footnoteRef/>
      </w:r>
      <w:r w:rsidRPr="007C5B60">
        <w:t xml:space="preserve"> Interview, Barry Spear, Public Information Manager and Carolyn </w:t>
      </w:r>
      <w:proofErr w:type="spellStart"/>
      <w:r w:rsidRPr="007C5B60">
        <w:t>Lapsley</w:t>
      </w:r>
      <w:proofErr w:type="spellEnd"/>
      <w:r w:rsidRPr="007C5B60">
        <w:t>, Deputy Commissioner of Children and Family Services, Alabama Department of Human Resources, Montgomery, AL, 26 January 2015.</w:t>
      </w:r>
    </w:p>
  </w:footnote>
  <w:footnote w:id="203">
    <w:p w14:paraId="3AF39657" w14:textId="77777777" w:rsidR="00876AA0" w:rsidRPr="007C5B60" w:rsidRDefault="00876AA0" w:rsidP="007C5B60">
      <w:pPr>
        <w:pStyle w:val="RTFootnotetext"/>
      </w:pPr>
      <w:r w:rsidRPr="007C5B60">
        <w:rPr>
          <w:rStyle w:val="FootnoteReference"/>
          <w:vertAlign w:val="baseline"/>
        </w:rPr>
        <w:footnoteRef/>
      </w:r>
      <w:r w:rsidRPr="007C5B60">
        <w:t xml:space="preserve"> Phone Interview, Program Supervisor for Alabama Department of Human Resources, 23 January 2015.</w:t>
      </w:r>
    </w:p>
  </w:footnote>
  <w:footnote w:id="204">
    <w:p w14:paraId="2DDB6857" w14:textId="77777777" w:rsidR="00876AA0" w:rsidRPr="007C5B60" w:rsidRDefault="00876AA0" w:rsidP="007C5B60">
      <w:pPr>
        <w:pStyle w:val="RTFootnotetext"/>
      </w:pPr>
      <w:r w:rsidRPr="007C5B60">
        <w:rPr>
          <w:rStyle w:val="FootnoteReference"/>
          <w:vertAlign w:val="baseline"/>
        </w:rPr>
        <w:footnoteRef/>
      </w:r>
      <w:r w:rsidRPr="007C5B60">
        <w:t xml:space="preserve"> Meeting, District Attorney Steve Marshall, Birmingham, AL, 27 September 2014.</w:t>
      </w:r>
    </w:p>
  </w:footnote>
  <w:footnote w:id="205">
    <w:p w14:paraId="5CA8CB08" w14:textId="77777777" w:rsidR="00876AA0" w:rsidRPr="007C5B60" w:rsidRDefault="00876AA0" w:rsidP="007C5B60">
      <w:pPr>
        <w:pStyle w:val="RTFootnotetext"/>
      </w:pPr>
      <w:r w:rsidRPr="007C5B60">
        <w:rPr>
          <w:rStyle w:val="FootnoteReference"/>
          <w:vertAlign w:val="baseline"/>
        </w:rPr>
        <w:footnoteRef/>
      </w:r>
      <w:r w:rsidRPr="007C5B60">
        <w:t xml:space="preserve"> Interview, Barry Spear, Public Information Manager and Carolyn </w:t>
      </w:r>
      <w:proofErr w:type="spellStart"/>
      <w:r w:rsidRPr="007C5B60">
        <w:t>Lapsley</w:t>
      </w:r>
      <w:proofErr w:type="spellEnd"/>
      <w:r w:rsidRPr="007C5B60">
        <w:t>, Deputy Commissioner of Children and Family Services, Alabama Department of Human Resources, Montgomery, AL, 26 January 2015.</w:t>
      </w:r>
    </w:p>
  </w:footnote>
  <w:footnote w:id="206">
    <w:p w14:paraId="5281E645" w14:textId="77777777" w:rsidR="00876AA0" w:rsidRPr="007C5B60" w:rsidRDefault="00876AA0" w:rsidP="007C5B60">
      <w:pPr>
        <w:pStyle w:val="RTFootnotetext"/>
      </w:pPr>
      <w:r w:rsidRPr="007C5B60">
        <w:rPr>
          <w:rStyle w:val="FootnoteReference"/>
          <w:vertAlign w:val="baseline"/>
        </w:rPr>
        <w:footnoteRef/>
      </w:r>
      <w:r w:rsidRPr="007C5B60">
        <w:t xml:space="preserve"> Phone Interview, Program Supervisor for Alabama Department of Human Resources, 23 January 2015.</w:t>
      </w:r>
    </w:p>
  </w:footnote>
  <w:footnote w:id="207">
    <w:p w14:paraId="5C6BC247" w14:textId="10E5156A" w:rsidR="00876AA0" w:rsidRPr="007C5B60" w:rsidRDefault="00876AA0" w:rsidP="007C5B60">
      <w:pPr>
        <w:pStyle w:val="RTFootnotetext"/>
      </w:pPr>
      <w:r w:rsidRPr="007C5B60">
        <w:rPr>
          <w:rStyle w:val="FootnoteReference"/>
          <w:vertAlign w:val="baseline"/>
        </w:rPr>
        <w:footnoteRef/>
      </w:r>
      <w:r>
        <w:t xml:space="preserve"> I</w:t>
      </w:r>
      <w:r w:rsidRPr="007C5B60">
        <w:t>nterviews at Birmingham Family Drug Court, Bir</w:t>
      </w:r>
      <w:r>
        <w:t>mingham, AL, 22 January 2015;</w:t>
      </w:r>
      <w:r w:rsidRPr="007C5B60">
        <w:t xml:space="preserve"> </w:t>
      </w:r>
      <w:r>
        <w:t>i</w:t>
      </w:r>
      <w:r w:rsidRPr="007C5B60">
        <w:t xml:space="preserve">nterview, Barry Spear, Public Information Manager and Carolyn </w:t>
      </w:r>
      <w:proofErr w:type="spellStart"/>
      <w:r w:rsidRPr="007C5B60">
        <w:t>Lapsley</w:t>
      </w:r>
      <w:proofErr w:type="spellEnd"/>
      <w:r w:rsidRPr="007C5B60">
        <w:t>, Deputy Commissioner of Children and Family Services, Alabama Department of Human Resources, Montgomery, AL, 26 January 2015.</w:t>
      </w:r>
    </w:p>
  </w:footnote>
  <w:footnote w:id="208">
    <w:p w14:paraId="2D08F623" w14:textId="77777777" w:rsidR="00876AA0" w:rsidRPr="007C5B60" w:rsidRDefault="00876AA0" w:rsidP="007C5B60">
      <w:pPr>
        <w:pStyle w:val="RTFootnotetext"/>
      </w:pPr>
      <w:r w:rsidRPr="007C5B60">
        <w:rPr>
          <w:rStyle w:val="FootnoteReference"/>
          <w:vertAlign w:val="baseline"/>
        </w:rPr>
        <w:footnoteRef/>
      </w:r>
      <w:r w:rsidRPr="007C5B60">
        <w:t xml:space="preserve"> </w:t>
      </w:r>
      <w:proofErr w:type="gramStart"/>
      <w:r w:rsidRPr="007C5B60">
        <w:t>Focus Group with 26 women, Birmingham, AL, 19 March, 2015.</w:t>
      </w:r>
      <w:proofErr w:type="gramEnd"/>
    </w:p>
  </w:footnote>
  <w:footnote w:id="209">
    <w:p w14:paraId="4BD7561C" w14:textId="77777777" w:rsidR="00876AA0" w:rsidRPr="007C5B60" w:rsidRDefault="00876AA0" w:rsidP="007C5B60">
      <w:pPr>
        <w:pStyle w:val="RTFootnotetext"/>
      </w:pPr>
      <w:r w:rsidRPr="007C5B60">
        <w:rPr>
          <w:rStyle w:val="FootnoteReference"/>
          <w:vertAlign w:val="baseline"/>
        </w:rPr>
        <w:footnoteRef/>
      </w:r>
      <w:r w:rsidRPr="007C5B60">
        <w:t xml:space="preserve"> </w:t>
      </w:r>
      <w:proofErr w:type="gramStart"/>
      <w:r w:rsidRPr="007C5B60">
        <w:t>Focus Group with 26 women, Birmingham, AL, 19 March, 2015.</w:t>
      </w:r>
      <w:proofErr w:type="gramEnd"/>
    </w:p>
  </w:footnote>
  <w:footnote w:id="210">
    <w:p w14:paraId="157461D5" w14:textId="77777777" w:rsidR="00876AA0" w:rsidRPr="00B5083F" w:rsidRDefault="00876AA0" w:rsidP="007C5B60">
      <w:pPr>
        <w:pStyle w:val="RTFootnotetext"/>
      </w:pPr>
      <w:r w:rsidRPr="007C5B60">
        <w:rPr>
          <w:rStyle w:val="FootnoteReference"/>
          <w:vertAlign w:val="baseline"/>
        </w:rPr>
        <w:footnoteRef/>
      </w:r>
      <w:r w:rsidRPr="007C5B60">
        <w:t xml:space="preserve"> Interview, Chris </w:t>
      </w:r>
      <w:proofErr w:type="spellStart"/>
      <w:r w:rsidRPr="007C5B60">
        <w:t>Retan</w:t>
      </w:r>
      <w:proofErr w:type="spellEnd"/>
      <w:r w:rsidRPr="007C5B60">
        <w:t xml:space="preserve">, Executive Director of </w:t>
      </w:r>
      <w:proofErr w:type="spellStart"/>
      <w:r w:rsidRPr="007C5B60">
        <w:t>Aletheia</w:t>
      </w:r>
      <w:proofErr w:type="spellEnd"/>
      <w:r w:rsidRPr="007C5B60">
        <w:t xml:space="preserve"> House, Birmingham, AL, 21 January 2015.</w:t>
      </w:r>
    </w:p>
  </w:footnote>
  <w:footnote w:id="211">
    <w:p w14:paraId="3E037073" w14:textId="77777777" w:rsidR="00876AA0" w:rsidRPr="007C5B60" w:rsidRDefault="00876AA0" w:rsidP="007C5B60">
      <w:pPr>
        <w:pStyle w:val="RTFootnotetext"/>
      </w:pPr>
      <w:r w:rsidRPr="007C5B60">
        <w:rPr>
          <w:rStyle w:val="FootnoteReference"/>
          <w:vertAlign w:val="baseline"/>
        </w:rPr>
        <w:footnoteRef/>
      </w:r>
      <w:r w:rsidRPr="007C5B60">
        <w:t xml:space="preserve"> </w:t>
      </w:r>
      <w:proofErr w:type="gramStart"/>
      <w:r w:rsidRPr="007C5B60">
        <w:t>Interview, Dana, treatment center, Birmingham, AL, 27 January 2015.</w:t>
      </w:r>
      <w:proofErr w:type="gramEnd"/>
    </w:p>
  </w:footnote>
  <w:footnote w:id="212">
    <w:p w14:paraId="24FDD2A8" w14:textId="77777777" w:rsidR="00876AA0" w:rsidRPr="007C5B60" w:rsidRDefault="00876AA0" w:rsidP="007C5B60">
      <w:pPr>
        <w:pStyle w:val="RTFootnotetext"/>
      </w:pPr>
      <w:r w:rsidRPr="007C5B60">
        <w:rPr>
          <w:rStyle w:val="FootnoteReference"/>
          <w:vertAlign w:val="baseline"/>
        </w:rPr>
        <w:footnoteRef/>
      </w:r>
      <w:r w:rsidRPr="007C5B60">
        <w:t xml:space="preserve"> </w:t>
      </w:r>
      <w:proofErr w:type="gramStart"/>
      <w:r w:rsidRPr="007C5B60">
        <w:t>Interview, Dana, treatment center, Birmingham, AL, 27 January 2015.</w:t>
      </w:r>
      <w:proofErr w:type="gramEnd"/>
    </w:p>
  </w:footnote>
  <w:footnote w:id="213">
    <w:p w14:paraId="170D3181" w14:textId="46FA6217" w:rsidR="00876AA0" w:rsidRPr="007C5B60" w:rsidRDefault="00876AA0" w:rsidP="007C5B60">
      <w:pPr>
        <w:pStyle w:val="RTFootnotetext"/>
      </w:pPr>
      <w:r w:rsidRPr="007C5B60">
        <w:rPr>
          <w:rStyle w:val="FootnoteReference"/>
          <w:vertAlign w:val="baseline"/>
        </w:rPr>
        <w:footnoteRef/>
      </w:r>
      <w:r w:rsidRPr="007C5B60">
        <w:t xml:space="preserve"> </w:t>
      </w:r>
      <w:r w:rsidRPr="00C02572">
        <w:t>Interview, Nina Martin, Nashvill</w:t>
      </w:r>
      <w:r>
        <w:t>e, TN, 2 October 2015, Also see</w:t>
      </w:r>
      <w:r w:rsidRPr="007C5B60">
        <w:t xml:space="preserve">: N. Martin and A. </w:t>
      </w:r>
      <w:proofErr w:type="spellStart"/>
      <w:r w:rsidRPr="007C5B60">
        <w:t>Yurkanin</w:t>
      </w:r>
      <w:proofErr w:type="spellEnd"/>
      <w:r w:rsidRPr="007C5B60">
        <w:t xml:space="preserve">, How Some Alabama Hospitals Quietly Drug Test New Mothers- Without Their Consent, </w:t>
      </w:r>
      <w:proofErr w:type="spellStart"/>
      <w:r w:rsidRPr="007C5B60">
        <w:t>ProPublica</w:t>
      </w:r>
      <w:proofErr w:type="spellEnd"/>
      <w:r w:rsidRPr="007C5B60">
        <w:t xml:space="preserve">, Sept 30, 2015, </w:t>
      </w:r>
      <w:hyperlink r:id="rId56" w:history="1">
        <w:r w:rsidRPr="007C5B60">
          <w:rPr>
            <w:rStyle w:val="Hyperlink"/>
            <w:color w:val="000000" w:themeColor="text1"/>
            <w:u w:val="none"/>
          </w:rPr>
          <w:t>www.propublica.org/article/how-some-alabama-hospitals-drug-test-new-mothers-without-their-consent</w:t>
        </w:r>
      </w:hyperlink>
      <w:r w:rsidRPr="007C5B60">
        <w:t xml:space="preserve"> </w:t>
      </w:r>
    </w:p>
  </w:footnote>
  <w:footnote w:id="214">
    <w:p w14:paraId="7030E705" w14:textId="339C235C" w:rsidR="00876AA0" w:rsidRPr="007C5B60" w:rsidRDefault="00876AA0" w:rsidP="007C5B60">
      <w:pPr>
        <w:pStyle w:val="RTFootnotetext"/>
      </w:pPr>
      <w:r w:rsidRPr="007C5B60">
        <w:rPr>
          <w:rStyle w:val="FootnoteReference"/>
          <w:vertAlign w:val="baseline"/>
        </w:rPr>
        <w:footnoteRef/>
      </w:r>
      <w:r w:rsidRPr="007C5B60">
        <w:t xml:space="preserve"> </w:t>
      </w:r>
      <w:proofErr w:type="gramStart"/>
      <w:r w:rsidRPr="007C5B60">
        <w:t>Interview, Stephen Patrick, 29 January 2015, Nashville</w:t>
      </w:r>
      <w:r w:rsidR="00BA34FC">
        <w:t>.</w:t>
      </w:r>
      <w:proofErr w:type="gramEnd"/>
    </w:p>
  </w:footnote>
  <w:footnote w:id="215">
    <w:p w14:paraId="22F4B204" w14:textId="31094486" w:rsidR="00876AA0" w:rsidRPr="004E7FB8" w:rsidRDefault="00876AA0" w:rsidP="004E7FB8">
      <w:pPr>
        <w:pStyle w:val="RTFootnotetext"/>
      </w:pPr>
      <w:r w:rsidRPr="004E7FB8">
        <w:rPr>
          <w:rStyle w:val="FootnoteReference"/>
          <w:vertAlign w:val="baseline"/>
        </w:rPr>
        <w:footnoteRef/>
      </w:r>
      <w:r w:rsidRPr="004E7FB8">
        <w:t xml:space="preserve"> Phone Interview, Program Supervisor for Alabama Department of Human Resources, 23 January 2015.</w:t>
      </w:r>
    </w:p>
  </w:footnote>
  <w:footnote w:id="216">
    <w:p w14:paraId="05C83D28" w14:textId="57F028CA" w:rsidR="00876AA0" w:rsidRPr="004E7FB8" w:rsidRDefault="00876AA0" w:rsidP="004E7FB8">
      <w:pPr>
        <w:pStyle w:val="RTFootnotetext"/>
      </w:pPr>
      <w:r w:rsidRPr="004E7FB8">
        <w:rPr>
          <w:rStyle w:val="FootnoteReference"/>
          <w:vertAlign w:val="baseline"/>
        </w:rPr>
        <w:footnoteRef/>
      </w:r>
      <w:r w:rsidRPr="004E7FB8">
        <w:t xml:space="preserve"> Interview, </w:t>
      </w:r>
      <w:proofErr w:type="spellStart"/>
      <w:r>
        <w:t>Dirstrict</w:t>
      </w:r>
      <w:proofErr w:type="spellEnd"/>
      <w:r>
        <w:t xml:space="preserve"> Attorney </w:t>
      </w:r>
      <w:r w:rsidRPr="004E7FB8">
        <w:t>Steve Marshall, Guntersville, AL, 18 March 2015.</w:t>
      </w:r>
    </w:p>
  </w:footnote>
  <w:footnote w:id="217">
    <w:p w14:paraId="6DDEDED3" w14:textId="77777777" w:rsidR="00876AA0" w:rsidRPr="004E7FB8" w:rsidRDefault="00876AA0" w:rsidP="004E7FB8">
      <w:pPr>
        <w:pStyle w:val="RTFootnotetext"/>
      </w:pPr>
      <w:r w:rsidRPr="004E7FB8">
        <w:rPr>
          <w:rStyle w:val="FootnoteReference"/>
          <w:vertAlign w:val="baseline"/>
        </w:rPr>
        <w:footnoteRef/>
      </w:r>
      <w:r w:rsidRPr="004E7FB8">
        <w:t xml:space="preserve"> Interview, Chief Deputy Scott </w:t>
      </w:r>
      <w:proofErr w:type="spellStart"/>
      <w:r w:rsidRPr="004E7FB8">
        <w:t>Hassell</w:t>
      </w:r>
      <w:proofErr w:type="spellEnd"/>
      <w:r w:rsidRPr="004E7FB8">
        <w:t>, Gadsden, AL, 18 March 2015.</w:t>
      </w:r>
    </w:p>
  </w:footnote>
  <w:footnote w:id="218">
    <w:p w14:paraId="1A1746CE" w14:textId="77777777" w:rsidR="00876AA0" w:rsidRPr="004E7FB8" w:rsidRDefault="00876AA0" w:rsidP="004E7FB8">
      <w:pPr>
        <w:pStyle w:val="RTFootnotetext"/>
      </w:pPr>
      <w:r w:rsidRPr="004E7FB8">
        <w:rPr>
          <w:rStyle w:val="FootnoteReference"/>
          <w:vertAlign w:val="baseline"/>
        </w:rPr>
        <w:footnoteRef/>
      </w:r>
      <w:r w:rsidRPr="004E7FB8">
        <w:t xml:space="preserve"> Interview, Chief Deputy Scott </w:t>
      </w:r>
      <w:proofErr w:type="spellStart"/>
      <w:r w:rsidRPr="004E7FB8">
        <w:t>Hassell</w:t>
      </w:r>
      <w:proofErr w:type="spellEnd"/>
      <w:r w:rsidRPr="004E7FB8">
        <w:t>, Gadsden, AL, 18 March 2015.</w:t>
      </w:r>
    </w:p>
  </w:footnote>
  <w:footnote w:id="219">
    <w:p w14:paraId="0A0413F2" w14:textId="77777777" w:rsidR="00876AA0" w:rsidRPr="004E7FB8" w:rsidRDefault="00876AA0" w:rsidP="004E7FB8">
      <w:pPr>
        <w:pStyle w:val="RTFootnotetext"/>
      </w:pPr>
      <w:r w:rsidRPr="004E7FB8">
        <w:rPr>
          <w:rStyle w:val="FootnoteReference"/>
          <w:vertAlign w:val="baseline"/>
        </w:rPr>
        <w:footnoteRef/>
      </w:r>
      <w:r w:rsidRPr="004E7FB8">
        <w:t xml:space="preserve"> </w:t>
      </w:r>
      <w:proofErr w:type="gramStart"/>
      <w:r w:rsidRPr="004E7FB8">
        <w:t xml:space="preserve">Report of the Special </w:t>
      </w:r>
      <w:proofErr w:type="spellStart"/>
      <w:r w:rsidRPr="004E7FB8">
        <w:t>Rapportueur</w:t>
      </w:r>
      <w:proofErr w:type="spellEnd"/>
      <w:r w:rsidRPr="004E7FB8">
        <w:t xml:space="preserve"> on the right of everyone to the enjoyment of the highest attainable standard of physical and mental health, 10 August 2009, para 27.</w:t>
      </w:r>
      <w:proofErr w:type="gramEnd"/>
    </w:p>
  </w:footnote>
  <w:footnote w:id="220">
    <w:p w14:paraId="597DECDA" w14:textId="3F734FEF" w:rsidR="00876AA0" w:rsidRPr="004E7FB8" w:rsidRDefault="00876AA0" w:rsidP="004E7FB8">
      <w:pPr>
        <w:pStyle w:val="RTFootnotetext"/>
      </w:pPr>
      <w:r w:rsidRPr="004E7FB8">
        <w:rPr>
          <w:rStyle w:val="FootnoteReference"/>
          <w:vertAlign w:val="baseline"/>
        </w:rPr>
        <w:footnoteRef/>
      </w:r>
      <w:r w:rsidRPr="004E7FB8">
        <w:t xml:space="preserve"> American College of Obstetricians and Gynecologists, </w:t>
      </w:r>
      <w:r>
        <w:t>‘</w:t>
      </w:r>
      <w:r w:rsidRPr="004E7FB8">
        <w:t>Committee Opinion: Substance Abuse Reporting and Pregnancy: The Role of the Obstetrician-Gynecologist</w:t>
      </w:r>
      <w:r>
        <w:t>’</w:t>
      </w:r>
      <w:r w:rsidRPr="004E7FB8">
        <w:t>, Number 473, January 2011, www.acog.org/-/media/Committee-Opinions/Committee-on-Health-Care-for-Underserved-Women/co473.pdf?dmc=1&amp;ts=20150126T0317044530</w:t>
      </w:r>
    </w:p>
  </w:footnote>
  <w:footnote w:id="221">
    <w:p w14:paraId="3D1F50BA" w14:textId="64D25E99" w:rsidR="00876AA0" w:rsidRPr="004E7FB8" w:rsidRDefault="00876AA0" w:rsidP="004E7FB8">
      <w:pPr>
        <w:pStyle w:val="RTFootnotetext"/>
      </w:pPr>
      <w:r w:rsidRPr="004E7FB8">
        <w:rPr>
          <w:rStyle w:val="FootnoteReference"/>
          <w:vertAlign w:val="baseline"/>
        </w:rPr>
        <w:footnoteRef/>
      </w:r>
      <w:r w:rsidRPr="004E7FB8">
        <w:t xml:space="preserve"> </w:t>
      </w:r>
      <w:r>
        <w:t xml:space="preserve">K.M. </w:t>
      </w:r>
      <w:proofErr w:type="spellStart"/>
      <w:r>
        <w:t>Cordasco</w:t>
      </w:r>
      <w:proofErr w:type="spellEnd"/>
      <w:r>
        <w:t>,</w:t>
      </w:r>
      <w:r w:rsidRPr="004E7FB8">
        <w:t xml:space="preserve"> </w:t>
      </w:r>
      <w:r>
        <w:t>‘</w:t>
      </w:r>
      <w:r w:rsidRPr="004E7FB8">
        <w:t>Obtaining Informed Consent Fro</w:t>
      </w:r>
      <w:r>
        <w:t>m Patients: Brief Update Review’,</w:t>
      </w:r>
      <w:r w:rsidRPr="004E7FB8">
        <w:t xml:space="preserve"> Making Health Care Safer II: An Updated Critical Analysis of the Eviden</w:t>
      </w:r>
      <w:r>
        <w:t>ce for Patient Safety Practices,</w:t>
      </w:r>
      <w:r w:rsidRPr="004E7FB8">
        <w:t xml:space="preserve"> Rockville (MD): US Agency for Healthcar</w:t>
      </w:r>
      <w:r>
        <w:t xml:space="preserve">e Research and Quality, 2013; </w:t>
      </w:r>
      <w:r w:rsidRPr="004E7FB8">
        <w:t>Evidence Reports/T</w:t>
      </w:r>
      <w:r>
        <w:t>echnology Assessments,</w:t>
      </w:r>
      <w:r w:rsidRPr="004E7FB8">
        <w:t xml:space="preserve"> Chapter 39, </w:t>
      </w:r>
      <w:hyperlink r:id="rId57" w:history="1">
        <w:r w:rsidRPr="004E7FB8">
          <w:rPr>
            <w:rStyle w:val="Hyperlink"/>
            <w:color w:val="000000" w:themeColor="text1"/>
            <w:u w:val="none"/>
          </w:rPr>
          <w:t>www.ncbi.nlm.nih.gov/books/NBK133402/</w:t>
        </w:r>
      </w:hyperlink>
      <w:r w:rsidRPr="004E7FB8">
        <w:t xml:space="preserve"> </w:t>
      </w:r>
    </w:p>
  </w:footnote>
  <w:footnote w:id="222">
    <w:p w14:paraId="7568C5A9" w14:textId="7FA6671B" w:rsidR="00876AA0" w:rsidRPr="00B5083F" w:rsidRDefault="00876AA0" w:rsidP="004E7FB8">
      <w:pPr>
        <w:pStyle w:val="RTFootnotetext"/>
      </w:pPr>
      <w:r w:rsidRPr="004E7FB8">
        <w:rPr>
          <w:rStyle w:val="FootnoteReference"/>
          <w:vertAlign w:val="baseline"/>
        </w:rPr>
        <w:footnoteRef/>
      </w:r>
      <w:r w:rsidRPr="004E7FB8">
        <w:t xml:space="preserve"> </w:t>
      </w:r>
      <w:r>
        <w:t xml:space="preserve">K.M. </w:t>
      </w:r>
      <w:proofErr w:type="spellStart"/>
      <w:r>
        <w:t>Cordasco</w:t>
      </w:r>
      <w:proofErr w:type="spellEnd"/>
      <w:r>
        <w:t>,</w:t>
      </w:r>
      <w:r w:rsidRPr="004E7FB8">
        <w:t xml:space="preserve"> </w:t>
      </w:r>
      <w:r>
        <w:t>‘</w:t>
      </w:r>
      <w:r w:rsidRPr="004E7FB8">
        <w:t>Obtaining Informed Consent Fro</w:t>
      </w:r>
      <w:r>
        <w:t>m Patients: Brief Update Review’,</w:t>
      </w:r>
      <w:r w:rsidRPr="004E7FB8">
        <w:t xml:space="preserve"> Making Health Care Safer II: An Updated Critical Analysis of the Eviden</w:t>
      </w:r>
      <w:r>
        <w:t>ce for Patient Safety Practices,</w:t>
      </w:r>
      <w:r w:rsidRPr="004E7FB8">
        <w:t xml:space="preserve"> Rockville (MD): US Agency for Healthcar</w:t>
      </w:r>
      <w:r>
        <w:t xml:space="preserve">e Research and Quality, 2013; </w:t>
      </w:r>
      <w:r w:rsidRPr="004E7FB8">
        <w:t>Evidence Reports/T</w:t>
      </w:r>
      <w:r>
        <w:t>echnology Assessments,</w:t>
      </w:r>
      <w:r w:rsidRPr="004E7FB8">
        <w:t xml:space="preserve"> Chapter 39, </w:t>
      </w:r>
      <w:hyperlink r:id="rId58" w:history="1">
        <w:r w:rsidRPr="004E7FB8">
          <w:rPr>
            <w:rStyle w:val="Hyperlink"/>
            <w:color w:val="000000" w:themeColor="text1"/>
            <w:u w:val="none"/>
          </w:rPr>
          <w:t>www.ncbi.nlm.nih.gov/books/NBK133402/</w:t>
        </w:r>
      </w:hyperlink>
      <w:r w:rsidRPr="004E7FB8">
        <w:t xml:space="preserve"> </w:t>
      </w:r>
    </w:p>
  </w:footnote>
  <w:footnote w:id="223">
    <w:p w14:paraId="73279982" w14:textId="29F74322" w:rsidR="00876AA0" w:rsidRPr="004E7FB8" w:rsidRDefault="00876AA0" w:rsidP="004E7FB8">
      <w:pPr>
        <w:pStyle w:val="RTFootnotetext"/>
      </w:pPr>
      <w:r w:rsidRPr="004E7FB8">
        <w:rPr>
          <w:rStyle w:val="FootnoteReference"/>
          <w:vertAlign w:val="baseline"/>
        </w:rPr>
        <w:footnoteRef/>
      </w:r>
      <w:r w:rsidRPr="004E7FB8">
        <w:t xml:space="preserve"> Interview with the Director of a Community Corrections Program, Birmingham, AL, </w:t>
      </w:r>
      <w:r>
        <w:t xml:space="preserve">23 </w:t>
      </w:r>
      <w:r w:rsidRPr="004E7FB8">
        <w:t>January 2015</w:t>
      </w:r>
      <w:r>
        <w:t>.</w:t>
      </w:r>
    </w:p>
  </w:footnote>
  <w:footnote w:id="224">
    <w:p w14:paraId="15712042" w14:textId="77777777" w:rsidR="00876AA0" w:rsidRPr="004E7FB8" w:rsidRDefault="00876AA0" w:rsidP="004E7FB8">
      <w:pPr>
        <w:pStyle w:val="RTFootnotetext"/>
      </w:pPr>
      <w:r w:rsidRPr="004E7FB8">
        <w:rPr>
          <w:rStyle w:val="FootnoteReference"/>
          <w:vertAlign w:val="baseline"/>
        </w:rPr>
        <w:footnoteRef/>
      </w:r>
      <w:r w:rsidRPr="004E7FB8">
        <w:t xml:space="preserve"> </w:t>
      </w:r>
      <w:proofErr w:type="gramStart"/>
      <w:r w:rsidRPr="004E7FB8">
        <w:t>Interview, pediatrician, Huntsville, AL, 28 January 2015; Interview, nurse, Huntsville, AL, 28 January 2015.</w:t>
      </w:r>
      <w:proofErr w:type="gramEnd"/>
    </w:p>
  </w:footnote>
  <w:footnote w:id="225">
    <w:p w14:paraId="16220FD1" w14:textId="676FBD14" w:rsidR="00876AA0" w:rsidRPr="004E7FB8" w:rsidRDefault="00876AA0" w:rsidP="004E7FB8">
      <w:pPr>
        <w:pStyle w:val="RTFootnotetext"/>
      </w:pPr>
      <w:r w:rsidRPr="004E7FB8">
        <w:rPr>
          <w:rStyle w:val="FootnoteReference"/>
          <w:vertAlign w:val="baseline"/>
        </w:rPr>
        <w:footnoteRef/>
      </w:r>
      <w:r w:rsidRPr="004E7FB8">
        <w:t xml:space="preserve"> Interview with Steve Marshall, Marshall C</w:t>
      </w:r>
      <w:r>
        <w:t>ounty District Attorney, 18 March</w:t>
      </w:r>
      <w:r w:rsidRPr="004E7FB8">
        <w:t xml:space="preserve"> 2015</w:t>
      </w:r>
      <w:r>
        <w:t>.</w:t>
      </w:r>
    </w:p>
  </w:footnote>
  <w:footnote w:id="226">
    <w:p w14:paraId="767D6D1B" w14:textId="77777777" w:rsidR="00876AA0" w:rsidRPr="00C02572" w:rsidRDefault="00876AA0" w:rsidP="00C02572">
      <w:pPr>
        <w:pStyle w:val="RTFootnotetext"/>
      </w:pPr>
      <w:r w:rsidRPr="00C02572">
        <w:rPr>
          <w:rStyle w:val="FootnoteReference"/>
          <w:vertAlign w:val="baseline"/>
        </w:rPr>
        <w:footnoteRef/>
      </w:r>
      <w:r w:rsidRPr="00C02572">
        <w:t xml:space="preserve"> Phone Interview, Program Supervisor for Alabama Department of Human Resources, 23 January 2015.</w:t>
      </w:r>
    </w:p>
  </w:footnote>
  <w:footnote w:id="227">
    <w:p w14:paraId="44CF9547" w14:textId="77777777" w:rsidR="00876AA0" w:rsidRPr="00C02572" w:rsidRDefault="00876AA0" w:rsidP="00C02572">
      <w:pPr>
        <w:pStyle w:val="RTFootnotetext"/>
      </w:pPr>
      <w:r w:rsidRPr="00C02572">
        <w:rPr>
          <w:rStyle w:val="FootnoteReference"/>
          <w:vertAlign w:val="baseline"/>
        </w:rPr>
        <w:footnoteRef/>
      </w:r>
      <w:r w:rsidRPr="00C02572">
        <w:t xml:space="preserve"> Interview, Brian White, Defense Lawyer, Decatur, AL, 16 March 2015.</w:t>
      </w:r>
    </w:p>
  </w:footnote>
  <w:footnote w:id="228">
    <w:p w14:paraId="6A9E90FE" w14:textId="178B90D0" w:rsidR="00876AA0" w:rsidRPr="00C02572" w:rsidRDefault="00876AA0" w:rsidP="00C02572">
      <w:pPr>
        <w:pStyle w:val="RTFootnotetext"/>
      </w:pPr>
      <w:r w:rsidRPr="00C02572">
        <w:rPr>
          <w:rStyle w:val="FootnoteReference"/>
          <w:vertAlign w:val="baseline"/>
        </w:rPr>
        <w:footnoteRef/>
      </w:r>
      <w:r w:rsidRPr="00C02572">
        <w:t xml:space="preserve"> N. Martin and A. </w:t>
      </w:r>
      <w:proofErr w:type="spellStart"/>
      <w:r w:rsidRPr="00C02572">
        <w:t>Yurkanin</w:t>
      </w:r>
      <w:proofErr w:type="spellEnd"/>
      <w:r w:rsidRPr="00C02572">
        <w:t xml:space="preserve">, </w:t>
      </w:r>
      <w:r>
        <w:t>‘</w:t>
      </w:r>
      <w:r w:rsidRPr="00C02572">
        <w:t>How Some Alabama Hospitals Quietly Drug Test New Mothers- Without Their Consent</w:t>
      </w:r>
      <w:r>
        <w:t>’</w:t>
      </w:r>
      <w:r w:rsidRPr="00C02572">
        <w:t xml:space="preserve">, </w:t>
      </w:r>
      <w:r>
        <w:t xml:space="preserve">30 </w:t>
      </w:r>
      <w:r w:rsidRPr="00C02572">
        <w:t>Sept</w:t>
      </w:r>
      <w:r>
        <w:t>ember</w:t>
      </w:r>
      <w:r w:rsidRPr="00C02572">
        <w:t xml:space="preserve"> 2015, </w:t>
      </w:r>
      <w:hyperlink r:id="rId59" w:history="1">
        <w:r w:rsidRPr="00C02572">
          <w:rPr>
            <w:rStyle w:val="Hyperlink"/>
            <w:color w:val="000000" w:themeColor="text1"/>
            <w:u w:val="none"/>
          </w:rPr>
          <w:t>www.propublica.org/article/how-some-alabama-hospitals-drug-test-new-mothers-without-their-consent</w:t>
        </w:r>
      </w:hyperlink>
      <w:r w:rsidRPr="00C02572">
        <w:t xml:space="preserve"> </w:t>
      </w:r>
    </w:p>
  </w:footnote>
  <w:footnote w:id="229">
    <w:p w14:paraId="602D560F" w14:textId="103E10DD" w:rsidR="00876AA0" w:rsidRPr="00C02572" w:rsidRDefault="00876AA0" w:rsidP="00C02572">
      <w:pPr>
        <w:pStyle w:val="RTFootnotetext"/>
      </w:pPr>
      <w:r w:rsidRPr="00C02572">
        <w:rPr>
          <w:rStyle w:val="FootnoteReference"/>
          <w:vertAlign w:val="baseline"/>
        </w:rPr>
        <w:footnoteRef/>
      </w:r>
      <w:r w:rsidRPr="00C02572">
        <w:t xml:space="preserve"> N. Martin and A. </w:t>
      </w:r>
      <w:proofErr w:type="spellStart"/>
      <w:r w:rsidRPr="00C02572">
        <w:t>Yurkanin</w:t>
      </w:r>
      <w:proofErr w:type="spellEnd"/>
      <w:r w:rsidRPr="00C02572">
        <w:t xml:space="preserve">, </w:t>
      </w:r>
      <w:r>
        <w:t>‘</w:t>
      </w:r>
      <w:r w:rsidRPr="00C02572">
        <w:t>How Some Alabama Hospitals Quietly Drug Test New Mothers- Without Their Consent</w:t>
      </w:r>
      <w:r>
        <w:t>’</w:t>
      </w:r>
      <w:r w:rsidRPr="00C02572">
        <w:t xml:space="preserve">, </w:t>
      </w:r>
      <w:r>
        <w:t xml:space="preserve">30 </w:t>
      </w:r>
      <w:r w:rsidRPr="00C02572">
        <w:t>Sept</w:t>
      </w:r>
      <w:r>
        <w:t>ember</w:t>
      </w:r>
      <w:r w:rsidRPr="00C02572">
        <w:t xml:space="preserve"> 2015</w:t>
      </w:r>
      <w:r>
        <w:t>.</w:t>
      </w:r>
    </w:p>
  </w:footnote>
  <w:footnote w:id="230">
    <w:p w14:paraId="464B6BF8" w14:textId="2F1FFB88" w:rsidR="00876AA0" w:rsidRPr="00C02572" w:rsidRDefault="00876AA0" w:rsidP="00C02572">
      <w:pPr>
        <w:pStyle w:val="RTFootnotetext"/>
      </w:pPr>
      <w:r w:rsidRPr="00C02572">
        <w:rPr>
          <w:rStyle w:val="FootnoteReference"/>
          <w:vertAlign w:val="baseline"/>
        </w:rPr>
        <w:footnoteRef/>
      </w:r>
      <w:r w:rsidRPr="00C02572">
        <w:t xml:space="preserve"> Interview, Nina Martin, Nashville, TN, 2 October 2015</w:t>
      </w:r>
      <w:r>
        <w:t>.</w:t>
      </w:r>
    </w:p>
  </w:footnote>
  <w:footnote w:id="231">
    <w:p w14:paraId="5679DFDC" w14:textId="77777777" w:rsidR="00876AA0" w:rsidRPr="00C02572" w:rsidRDefault="00876AA0" w:rsidP="00C02572">
      <w:pPr>
        <w:pStyle w:val="RTFootnotetext"/>
      </w:pPr>
      <w:r w:rsidRPr="00C02572">
        <w:rPr>
          <w:rStyle w:val="FootnoteReference"/>
          <w:vertAlign w:val="baseline"/>
        </w:rPr>
        <w:footnoteRef/>
      </w:r>
      <w:r w:rsidRPr="00C02572">
        <w:t xml:space="preserve"> </w:t>
      </w:r>
      <w:proofErr w:type="gramStart"/>
      <w:r w:rsidRPr="00C02572">
        <w:t>Interview, Amber, treatment center, Birmingham, AL, 22 January 2015.</w:t>
      </w:r>
      <w:proofErr w:type="gramEnd"/>
    </w:p>
  </w:footnote>
  <w:footnote w:id="232">
    <w:p w14:paraId="1C8DE1CD" w14:textId="77777777" w:rsidR="00876AA0" w:rsidRPr="00B5083F" w:rsidRDefault="00876AA0" w:rsidP="00C02572">
      <w:pPr>
        <w:pStyle w:val="RTFootnotetext"/>
      </w:pPr>
      <w:r w:rsidRPr="00C02572">
        <w:rPr>
          <w:rStyle w:val="FootnoteReference"/>
          <w:vertAlign w:val="baseline"/>
        </w:rPr>
        <w:footnoteRef/>
      </w:r>
      <w:r w:rsidRPr="00C02572">
        <w:t xml:space="preserve"> </w:t>
      </w:r>
      <w:proofErr w:type="gramStart"/>
      <w:r w:rsidRPr="00C02572">
        <w:t>Interview, Laurie, treatment center, Birmingham, AL, 19 March 2015.</w:t>
      </w:r>
      <w:proofErr w:type="gramEnd"/>
    </w:p>
  </w:footnote>
  <w:footnote w:id="233">
    <w:p w14:paraId="0A1C3803" w14:textId="74EDD993" w:rsidR="00876AA0" w:rsidRPr="004E7FB8" w:rsidRDefault="00876AA0" w:rsidP="004E7FB8">
      <w:pPr>
        <w:pStyle w:val="RTFootnotetext"/>
      </w:pPr>
      <w:r w:rsidRPr="004E7FB8">
        <w:rPr>
          <w:rStyle w:val="FootnoteReference"/>
          <w:vertAlign w:val="baseline"/>
        </w:rPr>
        <w:footnoteRef/>
      </w:r>
      <w:r w:rsidRPr="004E7FB8">
        <w:t xml:space="preserve"> CESCR General Comment 14, para. 8</w:t>
      </w:r>
      <w:r>
        <w:t>.</w:t>
      </w:r>
    </w:p>
  </w:footnote>
  <w:footnote w:id="234">
    <w:p w14:paraId="62D889F2" w14:textId="77777777" w:rsidR="00876AA0" w:rsidRPr="004E7FB8" w:rsidRDefault="00876AA0" w:rsidP="004E7FB8">
      <w:pPr>
        <w:pStyle w:val="RTFootnotetext"/>
      </w:pPr>
      <w:r w:rsidRPr="004E7FB8">
        <w:rPr>
          <w:rStyle w:val="FootnoteReference"/>
          <w:vertAlign w:val="baseline"/>
        </w:rPr>
        <w:footnoteRef/>
      </w:r>
      <w:r w:rsidRPr="004E7FB8">
        <w:t xml:space="preserve"> Interview, District Attorney Jimmie Harp, Gadsden, AL, 28 January 2015.</w:t>
      </w:r>
    </w:p>
  </w:footnote>
  <w:footnote w:id="235">
    <w:p w14:paraId="2830EB99" w14:textId="77777777" w:rsidR="00876AA0" w:rsidRPr="004E7FB8" w:rsidRDefault="00876AA0" w:rsidP="004E7FB8">
      <w:pPr>
        <w:pStyle w:val="RTFootnotetext"/>
      </w:pPr>
      <w:r w:rsidRPr="004E7FB8">
        <w:rPr>
          <w:rStyle w:val="FootnoteReference"/>
          <w:vertAlign w:val="baseline"/>
        </w:rPr>
        <w:footnoteRef/>
      </w:r>
      <w:r w:rsidRPr="004E7FB8">
        <w:t xml:space="preserve"> Interview, District Attorney Steve Marshall, Guntersville, AL, 18 March 2015.</w:t>
      </w:r>
    </w:p>
  </w:footnote>
  <w:footnote w:id="236">
    <w:p w14:paraId="77CB0886" w14:textId="77777777" w:rsidR="00876AA0" w:rsidRPr="004E7FB8" w:rsidRDefault="00876AA0" w:rsidP="004E7FB8">
      <w:pPr>
        <w:pStyle w:val="RTFootnotetext"/>
      </w:pPr>
      <w:r w:rsidRPr="004E7FB8">
        <w:rPr>
          <w:rStyle w:val="FootnoteReference"/>
          <w:vertAlign w:val="baseline"/>
        </w:rPr>
        <w:footnoteRef/>
      </w:r>
      <w:r w:rsidRPr="004E7FB8">
        <w:t xml:space="preserve"> Interview, </w:t>
      </w:r>
      <w:proofErr w:type="spellStart"/>
      <w:r w:rsidRPr="004E7FB8">
        <w:t>Marchetta</w:t>
      </w:r>
      <w:proofErr w:type="spellEnd"/>
      <w:r w:rsidRPr="004E7FB8">
        <w:t xml:space="preserve"> Shawl, Marshall County Court Referral Service, Guntersville, AL, 20 March 2015.</w:t>
      </w:r>
    </w:p>
  </w:footnote>
  <w:footnote w:id="237">
    <w:p w14:paraId="09F9640B" w14:textId="77777777" w:rsidR="00876AA0" w:rsidRPr="004E7FB8" w:rsidRDefault="00876AA0" w:rsidP="004E7FB8">
      <w:pPr>
        <w:pStyle w:val="RTFootnotetext"/>
      </w:pPr>
      <w:r w:rsidRPr="004E7FB8">
        <w:rPr>
          <w:rStyle w:val="FootnoteReference"/>
          <w:vertAlign w:val="baseline"/>
        </w:rPr>
        <w:footnoteRef/>
      </w:r>
      <w:r w:rsidRPr="004E7FB8">
        <w:t xml:space="preserve"> </w:t>
      </w:r>
      <w:proofErr w:type="gramStart"/>
      <w:r w:rsidRPr="004E7FB8">
        <w:t>Interview, Anne, treatment center, Birmingham, AL, 27 January 2015.</w:t>
      </w:r>
      <w:proofErr w:type="gramEnd"/>
    </w:p>
  </w:footnote>
  <w:footnote w:id="238">
    <w:p w14:paraId="3F7FB723" w14:textId="77777777" w:rsidR="00876AA0" w:rsidRPr="00B5083F" w:rsidRDefault="00876AA0" w:rsidP="004E7FB8">
      <w:pPr>
        <w:pStyle w:val="RTFootnotetext"/>
      </w:pPr>
      <w:r w:rsidRPr="004E7FB8">
        <w:rPr>
          <w:rStyle w:val="FootnoteReference"/>
          <w:vertAlign w:val="baseline"/>
        </w:rPr>
        <w:footnoteRef/>
      </w:r>
      <w:r w:rsidRPr="004E7FB8">
        <w:t xml:space="preserve"> </w:t>
      </w:r>
      <w:proofErr w:type="gramStart"/>
      <w:r w:rsidRPr="004E7FB8">
        <w:t>Interview, Nikki, treatment center, Birmingham, AL, 19 March 2015.</w:t>
      </w:r>
      <w:proofErr w:type="gramEnd"/>
    </w:p>
  </w:footnote>
  <w:footnote w:id="239">
    <w:p w14:paraId="69BBB112" w14:textId="6752BA6F" w:rsidR="00876AA0" w:rsidRPr="004E7FB8" w:rsidRDefault="00876AA0" w:rsidP="004E7FB8">
      <w:pPr>
        <w:pStyle w:val="RTFootnotetext"/>
      </w:pPr>
      <w:r w:rsidRPr="004E7FB8">
        <w:rPr>
          <w:rStyle w:val="FootnoteReference"/>
          <w:vertAlign w:val="baseline"/>
        </w:rPr>
        <w:footnoteRef/>
      </w:r>
      <w:r w:rsidRPr="004E7FB8">
        <w:t xml:space="preserve"> See Fact Sheet: Office of National Drug Control Policy,</w:t>
      </w:r>
      <w:r>
        <w:t xml:space="preserve"> </w:t>
      </w:r>
      <w:r w:rsidRPr="00FA69FF">
        <w:t xml:space="preserve">www.whitehouse.gov/sites/default/files/ondcp/Fact_Sheets/drug_courts_fact_sheet_5-31-11.pdf </w:t>
      </w:r>
    </w:p>
  </w:footnote>
  <w:footnote w:id="240">
    <w:p w14:paraId="6084FB3E" w14:textId="4A55AF90" w:rsidR="00876AA0" w:rsidRPr="004E7FB8" w:rsidRDefault="00876AA0" w:rsidP="004E7FB8">
      <w:pPr>
        <w:pStyle w:val="RTFootnotetext"/>
      </w:pPr>
      <w:r w:rsidRPr="004E7FB8">
        <w:rPr>
          <w:rStyle w:val="FootnoteReference"/>
          <w:vertAlign w:val="baseline"/>
        </w:rPr>
        <w:footnoteRef/>
      </w:r>
      <w:r>
        <w:t xml:space="preserve"> </w:t>
      </w:r>
      <w:proofErr w:type="gramStart"/>
      <w:r>
        <w:t>Interview, Kate</w:t>
      </w:r>
      <w:r w:rsidRPr="004E7FB8">
        <w:t xml:space="preserve">, </w:t>
      </w:r>
      <w:r>
        <w:t xml:space="preserve">treatment center, </w:t>
      </w:r>
      <w:r w:rsidRPr="004E7FB8">
        <w:t>Birmingham, AL, January 2015</w:t>
      </w:r>
      <w:r>
        <w:t>.</w:t>
      </w:r>
      <w:proofErr w:type="gramEnd"/>
    </w:p>
  </w:footnote>
  <w:footnote w:id="241">
    <w:p w14:paraId="68A77574" w14:textId="77777777" w:rsidR="00876AA0" w:rsidRPr="004E7FB8" w:rsidRDefault="00876AA0" w:rsidP="004E7FB8">
      <w:pPr>
        <w:pStyle w:val="RTFootnotetext"/>
      </w:pPr>
      <w:r w:rsidRPr="004E7FB8">
        <w:rPr>
          <w:rStyle w:val="FootnoteReference"/>
          <w:vertAlign w:val="baseline"/>
        </w:rPr>
        <w:footnoteRef/>
      </w:r>
      <w:r w:rsidRPr="004E7FB8">
        <w:t xml:space="preserve"> Interview, Brian White, Defense Lawyer, Decatur, AL, 16 March 2015.</w:t>
      </w:r>
    </w:p>
  </w:footnote>
  <w:footnote w:id="242">
    <w:p w14:paraId="7B51CD9C" w14:textId="34A1764B" w:rsidR="00876AA0" w:rsidRPr="004E7FB8" w:rsidRDefault="00876AA0" w:rsidP="004E7FB8">
      <w:pPr>
        <w:pStyle w:val="RTFootnotetext"/>
      </w:pPr>
      <w:r w:rsidRPr="004E7FB8">
        <w:rPr>
          <w:rStyle w:val="FootnoteReference"/>
          <w:vertAlign w:val="baseline"/>
        </w:rPr>
        <w:footnoteRef/>
      </w:r>
      <w:r w:rsidRPr="004E7FB8">
        <w:t xml:space="preserve"> </w:t>
      </w:r>
      <w:proofErr w:type="gramStart"/>
      <w:r w:rsidRPr="004E7FB8">
        <w:t>Interview, Executive Director of an organizatio</w:t>
      </w:r>
      <w:r>
        <w:t>n serving women in prison, 26 January</w:t>
      </w:r>
      <w:r w:rsidRPr="004E7FB8">
        <w:t xml:space="preserve"> 2015.</w:t>
      </w:r>
      <w:proofErr w:type="gramEnd"/>
    </w:p>
  </w:footnote>
  <w:footnote w:id="243">
    <w:p w14:paraId="0C49DE26" w14:textId="77777777" w:rsidR="00876AA0" w:rsidRPr="004E7FB8" w:rsidRDefault="00876AA0" w:rsidP="004E7FB8">
      <w:pPr>
        <w:pStyle w:val="RTFootnotetext"/>
      </w:pPr>
      <w:r w:rsidRPr="004E7FB8">
        <w:rPr>
          <w:rStyle w:val="FootnoteReference"/>
          <w:vertAlign w:val="baseline"/>
        </w:rPr>
        <w:footnoteRef/>
      </w:r>
      <w:r w:rsidRPr="004E7FB8">
        <w:t xml:space="preserve"> Interview, Chief Deputy Scott </w:t>
      </w:r>
      <w:proofErr w:type="spellStart"/>
      <w:r w:rsidRPr="004E7FB8">
        <w:t>Hassell</w:t>
      </w:r>
      <w:proofErr w:type="spellEnd"/>
      <w:r w:rsidRPr="004E7FB8">
        <w:t>, Gadsden, AL, 18 March 2015.</w:t>
      </w:r>
    </w:p>
  </w:footnote>
  <w:footnote w:id="244">
    <w:p w14:paraId="24FEA112" w14:textId="13E803A7" w:rsidR="00876AA0" w:rsidRPr="004E7FB8" w:rsidRDefault="00876AA0" w:rsidP="004E7FB8">
      <w:pPr>
        <w:pStyle w:val="RTFootnotetext"/>
      </w:pPr>
      <w:r w:rsidRPr="004E7FB8">
        <w:rPr>
          <w:rStyle w:val="FootnoteReference"/>
          <w:vertAlign w:val="baseline"/>
        </w:rPr>
        <w:footnoteRef/>
      </w:r>
      <w:r w:rsidRPr="004E7FB8">
        <w:t xml:space="preserve"> </w:t>
      </w:r>
      <w:proofErr w:type="gramStart"/>
      <w:r w:rsidRPr="004E7FB8">
        <w:t>Interviews with two women who were recently released to a “halfway house” in Montgomery, Alabama.</w:t>
      </w:r>
      <w:proofErr w:type="gramEnd"/>
      <w:r w:rsidRPr="004E7FB8">
        <w:t xml:space="preserve"> One woman developed diabetes while incarcerated, and though her health records indic</w:t>
      </w:r>
      <w:r>
        <w:t>ated this, she was not informed, 26 January 2015.</w:t>
      </w:r>
      <w:r w:rsidRPr="004E7FB8">
        <w:t xml:space="preserve"> </w:t>
      </w:r>
    </w:p>
  </w:footnote>
  <w:footnote w:id="245">
    <w:p w14:paraId="5775F8E5" w14:textId="3781466F" w:rsidR="00876AA0" w:rsidRPr="004E7FB8" w:rsidRDefault="00876AA0" w:rsidP="004E7FB8">
      <w:pPr>
        <w:pStyle w:val="RTFootnotetext"/>
      </w:pPr>
      <w:r w:rsidRPr="004E7FB8">
        <w:rPr>
          <w:rStyle w:val="FootnoteReference"/>
          <w:vertAlign w:val="baseline"/>
        </w:rPr>
        <w:footnoteRef/>
      </w:r>
      <w:r w:rsidRPr="004E7FB8">
        <w:t xml:space="preserve"> </w:t>
      </w:r>
      <w:r>
        <w:t>‘</w:t>
      </w:r>
      <w:r w:rsidRPr="004E7FB8">
        <w:t>Justice Department Reaches Landmark Settlement with Alabama to Protect Prisoners at Julia Tutwiler Prison for Women from Harm Due to Staff Sexual Abuse and Sexual Harassment</w:t>
      </w:r>
      <w:r>
        <w:t>’</w:t>
      </w:r>
      <w:r w:rsidRPr="004E7FB8">
        <w:t xml:space="preserve">, </w:t>
      </w:r>
      <w:hyperlink r:id="rId60" w:history="1">
        <w:r w:rsidRPr="004E7FB8">
          <w:rPr>
            <w:rStyle w:val="Hyperlink"/>
            <w:color w:val="000000" w:themeColor="text1"/>
            <w:u w:val="none"/>
          </w:rPr>
          <w:t>www.justice.gov/opa/pr/justice-department-reaches-landmark-settlement-alabama-protect-prisoners-julia-tutwiler</w:t>
        </w:r>
      </w:hyperlink>
      <w:r w:rsidRPr="004E7FB8">
        <w:t xml:space="preserve"> </w:t>
      </w:r>
    </w:p>
  </w:footnote>
  <w:footnote w:id="246">
    <w:p w14:paraId="3BD2ED40" w14:textId="2D9F7711" w:rsidR="00876AA0" w:rsidRPr="004E7FB8" w:rsidRDefault="00876AA0" w:rsidP="004E7FB8">
      <w:pPr>
        <w:pStyle w:val="RTFootnotetext"/>
      </w:pPr>
      <w:r w:rsidRPr="004E7FB8">
        <w:rPr>
          <w:rStyle w:val="FootnoteReference"/>
          <w:vertAlign w:val="baseline"/>
        </w:rPr>
        <w:footnoteRef/>
      </w:r>
      <w:r w:rsidRPr="004E7FB8">
        <w:t xml:space="preserve"> Interview, Woman recently rele</w:t>
      </w:r>
      <w:r>
        <w:t>ased from Tutwiler Prison, 26 January</w:t>
      </w:r>
      <w:r w:rsidRPr="004E7FB8">
        <w:t xml:space="preserve"> 2015</w:t>
      </w:r>
      <w:r>
        <w:t>.</w:t>
      </w:r>
      <w:r w:rsidRPr="004E7FB8">
        <w:t xml:space="preserve"> </w:t>
      </w:r>
    </w:p>
  </w:footnote>
  <w:footnote w:id="247">
    <w:p w14:paraId="4F641D0E" w14:textId="1CF59412" w:rsidR="00876AA0" w:rsidRPr="004E7FB8" w:rsidRDefault="00876AA0" w:rsidP="004E7FB8">
      <w:pPr>
        <w:pStyle w:val="RTFootnotetext"/>
      </w:pPr>
      <w:r w:rsidRPr="004E7FB8">
        <w:rPr>
          <w:rStyle w:val="FootnoteReference"/>
          <w:vertAlign w:val="baseline"/>
        </w:rPr>
        <w:footnoteRef/>
      </w:r>
      <w:r w:rsidRPr="004E7FB8">
        <w:t xml:space="preserve"> </w:t>
      </w:r>
      <w:r>
        <w:t xml:space="preserve">Interview, </w:t>
      </w:r>
      <w:proofErr w:type="spellStart"/>
      <w:r>
        <w:t>Emuni</w:t>
      </w:r>
      <w:proofErr w:type="spellEnd"/>
      <w:r>
        <w:t xml:space="preserve"> Sanderson, </w:t>
      </w:r>
      <w:proofErr w:type="spellStart"/>
      <w:r>
        <w:t>Aletheia</w:t>
      </w:r>
      <w:proofErr w:type="spellEnd"/>
      <w:r>
        <w:t xml:space="preserve"> House, Birmingham, AL, 21 January 2015.</w:t>
      </w:r>
    </w:p>
  </w:footnote>
  <w:footnote w:id="248">
    <w:p w14:paraId="4EBB8571" w14:textId="77777777" w:rsidR="00876AA0" w:rsidRPr="004E7FB8" w:rsidRDefault="00876AA0" w:rsidP="004E7FB8">
      <w:pPr>
        <w:pStyle w:val="RTFootnotetext"/>
      </w:pPr>
      <w:r w:rsidRPr="004E7FB8">
        <w:rPr>
          <w:rStyle w:val="FootnoteReference"/>
          <w:vertAlign w:val="baseline"/>
        </w:rPr>
        <w:footnoteRef/>
      </w:r>
      <w:r w:rsidRPr="004E7FB8">
        <w:t xml:space="preserve"> Interview, Chris </w:t>
      </w:r>
      <w:proofErr w:type="spellStart"/>
      <w:r w:rsidRPr="004E7FB8">
        <w:t>Retan</w:t>
      </w:r>
      <w:proofErr w:type="spellEnd"/>
      <w:r w:rsidRPr="004E7FB8">
        <w:t xml:space="preserve">, Executive Director of </w:t>
      </w:r>
      <w:proofErr w:type="spellStart"/>
      <w:r w:rsidRPr="004E7FB8">
        <w:t>Aletheia</w:t>
      </w:r>
      <w:proofErr w:type="spellEnd"/>
      <w:r w:rsidRPr="004E7FB8">
        <w:t xml:space="preserve"> House, Birmingham, AL, 21 January 2015.</w:t>
      </w:r>
    </w:p>
  </w:footnote>
  <w:footnote w:id="249">
    <w:p w14:paraId="0AFB1459" w14:textId="77777777" w:rsidR="00876AA0" w:rsidRPr="004E7FB8" w:rsidRDefault="00876AA0" w:rsidP="004E7FB8">
      <w:pPr>
        <w:pStyle w:val="RTFootnotetext"/>
      </w:pPr>
      <w:r w:rsidRPr="004E7FB8">
        <w:rPr>
          <w:rStyle w:val="FootnoteReference"/>
          <w:vertAlign w:val="baseline"/>
        </w:rPr>
        <w:footnoteRef/>
      </w:r>
      <w:r w:rsidRPr="004E7FB8">
        <w:t xml:space="preserve"> Interview, Chris </w:t>
      </w:r>
      <w:proofErr w:type="spellStart"/>
      <w:r w:rsidRPr="004E7FB8">
        <w:t>Retan</w:t>
      </w:r>
      <w:proofErr w:type="spellEnd"/>
      <w:r w:rsidRPr="004E7FB8">
        <w:t xml:space="preserve">, Executive Director of </w:t>
      </w:r>
      <w:proofErr w:type="spellStart"/>
      <w:r w:rsidRPr="004E7FB8">
        <w:t>Aletheia</w:t>
      </w:r>
      <w:proofErr w:type="spellEnd"/>
      <w:r w:rsidRPr="004E7FB8">
        <w:t xml:space="preserve"> House, Birmingham, AL, 21 January 2015.</w:t>
      </w:r>
    </w:p>
  </w:footnote>
  <w:footnote w:id="250">
    <w:p w14:paraId="5D485B12" w14:textId="77777777" w:rsidR="00876AA0" w:rsidRPr="004E7FB8" w:rsidRDefault="00876AA0" w:rsidP="004E7FB8">
      <w:pPr>
        <w:pStyle w:val="RTFootnotetext"/>
      </w:pPr>
      <w:r w:rsidRPr="004E7FB8">
        <w:rPr>
          <w:rStyle w:val="FootnoteReference"/>
          <w:vertAlign w:val="baseline"/>
        </w:rPr>
        <w:footnoteRef/>
      </w:r>
      <w:r w:rsidRPr="004E7FB8">
        <w:t xml:space="preserve"> Interview, Chris </w:t>
      </w:r>
      <w:proofErr w:type="spellStart"/>
      <w:r w:rsidRPr="004E7FB8">
        <w:t>Retan</w:t>
      </w:r>
      <w:proofErr w:type="spellEnd"/>
      <w:r w:rsidRPr="004E7FB8">
        <w:t xml:space="preserve">, Executive Director of </w:t>
      </w:r>
      <w:proofErr w:type="spellStart"/>
      <w:r w:rsidRPr="004E7FB8">
        <w:t>Aletheia</w:t>
      </w:r>
      <w:proofErr w:type="spellEnd"/>
      <w:r w:rsidRPr="004E7FB8">
        <w:t xml:space="preserve"> House, Birmingham, AL, 21 January 2015.</w:t>
      </w:r>
    </w:p>
  </w:footnote>
  <w:footnote w:id="251">
    <w:p w14:paraId="3BDA98FB" w14:textId="77777777" w:rsidR="00876AA0" w:rsidRPr="004E7FB8" w:rsidRDefault="00876AA0" w:rsidP="004E7FB8">
      <w:pPr>
        <w:pStyle w:val="RTFootnotetext"/>
      </w:pPr>
      <w:r w:rsidRPr="004E7FB8">
        <w:rPr>
          <w:rStyle w:val="FootnoteReference"/>
          <w:vertAlign w:val="baseline"/>
        </w:rPr>
        <w:footnoteRef/>
      </w:r>
      <w:r w:rsidRPr="004E7FB8">
        <w:t xml:space="preserve"> Interview, Executive Director of a program for women involved in the criminal justice system, Montgomery, AL, 26 January 2015; Interview, Dora, treatment center, Birmingham, AL, 23 January 2015. </w:t>
      </w:r>
    </w:p>
  </w:footnote>
  <w:footnote w:id="252">
    <w:p w14:paraId="4C2BAE0C" w14:textId="77777777" w:rsidR="00876AA0" w:rsidRPr="004E7FB8" w:rsidRDefault="00876AA0" w:rsidP="004E7FB8">
      <w:pPr>
        <w:pStyle w:val="RTFootnotetext"/>
      </w:pPr>
      <w:r w:rsidRPr="004E7FB8">
        <w:rPr>
          <w:rStyle w:val="FootnoteReference"/>
          <w:vertAlign w:val="baseline"/>
        </w:rPr>
        <w:footnoteRef/>
      </w:r>
      <w:r w:rsidRPr="004E7FB8">
        <w:t xml:space="preserve"> </w:t>
      </w:r>
      <w:proofErr w:type="gramStart"/>
      <w:r w:rsidRPr="004E7FB8">
        <w:t>Interview, Laurie, treatment center, Birmingham, AL, 19 March 2015; Interview, Sam, treatment center, Birmingham, AL, 19 March 2015.</w:t>
      </w:r>
      <w:proofErr w:type="gramEnd"/>
    </w:p>
  </w:footnote>
  <w:footnote w:id="253">
    <w:p w14:paraId="6590C858" w14:textId="08055612" w:rsidR="00876AA0" w:rsidRPr="004E7FB8" w:rsidRDefault="00876AA0" w:rsidP="004E7FB8">
      <w:pPr>
        <w:pStyle w:val="RTFootnotetext"/>
      </w:pPr>
      <w:r w:rsidRPr="004E7FB8">
        <w:rPr>
          <w:rStyle w:val="FootnoteReference"/>
          <w:vertAlign w:val="baseline"/>
        </w:rPr>
        <w:footnoteRef/>
      </w:r>
      <w:r w:rsidRPr="004E7FB8">
        <w:t xml:space="preserve"> </w:t>
      </w:r>
      <w:proofErr w:type="gramStart"/>
      <w:r w:rsidRPr="004E7FB8">
        <w:t>In</w:t>
      </w:r>
      <w:r>
        <w:t>terview with Dora,</w:t>
      </w:r>
      <w:r w:rsidRPr="004E7FB8">
        <w:t xml:space="preserve"> treatment center, Birmingham, AL, 23 January 2015</w:t>
      </w:r>
      <w:r w:rsidR="00BA34FC">
        <w:t>.</w:t>
      </w:r>
      <w:proofErr w:type="gramEnd"/>
    </w:p>
  </w:footnote>
  <w:footnote w:id="254">
    <w:p w14:paraId="17D9BB77" w14:textId="77777777" w:rsidR="00876AA0" w:rsidRPr="004E7FB8" w:rsidRDefault="00876AA0" w:rsidP="004E7FB8">
      <w:pPr>
        <w:pStyle w:val="RTFootnotetext"/>
      </w:pPr>
      <w:r w:rsidRPr="004E7FB8">
        <w:rPr>
          <w:rStyle w:val="FootnoteReference"/>
          <w:vertAlign w:val="baseline"/>
        </w:rPr>
        <w:footnoteRef/>
      </w:r>
      <w:r w:rsidRPr="004E7FB8">
        <w:t xml:space="preserve"> </w:t>
      </w:r>
      <w:proofErr w:type="gramStart"/>
      <w:r w:rsidRPr="004E7FB8">
        <w:t>Interview with Life Skills Instructor, treatment center, Birmingham, AL, 27 January 2015.</w:t>
      </w:r>
      <w:proofErr w:type="gramEnd"/>
    </w:p>
  </w:footnote>
  <w:footnote w:id="255">
    <w:p w14:paraId="16F98AAA" w14:textId="77777777" w:rsidR="00876AA0" w:rsidRPr="004E7FB8" w:rsidRDefault="00876AA0" w:rsidP="004E7FB8">
      <w:pPr>
        <w:pStyle w:val="RTFootnotetext"/>
      </w:pPr>
      <w:r w:rsidRPr="004E7FB8">
        <w:rPr>
          <w:rStyle w:val="FootnoteReference"/>
          <w:vertAlign w:val="baseline"/>
        </w:rPr>
        <w:footnoteRef/>
      </w:r>
      <w:r w:rsidRPr="004E7FB8">
        <w:t xml:space="preserve"> </w:t>
      </w:r>
      <w:proofErr w:type="gramStart"/>
      <w:r w:rsidRPr="004E7FB8">
        <w:t>Dora, treatment center, Birmingham, AL, 23 January 2015.</w:t>
      </w:r>
      <w:proofErr w:type="gramEnd"/>
    </w:p>
  </w:footnote>
  <w:footnote w:id="256">
    <w:p w14:paraId="61B5D153" w14:textId="77777777" w:rsidR="00876AA0" w:rsidRDefault="00876AA0" w:rsidP="004E7FB8">
      <w:pPr>
        <w:pStyle w:val="RTFootnotetext"/>
      </w:pPr>
      <w:r w:rsidRPr="004E7FB8">
        <w:rPr>
          <w:rStyle w:val="FootnoteReference"/>
          <w:vertAlign w:val="baseline"/>
        </w:rPr>
        <w:footnoteRef/>
      </w:r>
      <w:r w:rsidRPr="004E7FB8">
        <w:t xml:space="preserve"> </w:t>
      </w:r>
      <w:proofErr w:type="gramStart"/>
      <w:r w:rsidRPr="004E7FB8">
        <w:t>Interview, Anne, treatment center, Birmingham, AL, 27 January 2015.</w:t>
      </w:r>
      <w:proofErr w:type="gramEnd"/>
    </w:p>
  </w:footnote>
  <w:footnote w:id="257">
    <w:p w14:paraId="27E45D1E" w14:textId="5B07848A" w:rsidR="00876AA0" w:rsidRPr="00A704FA" w:rsidRDefault="00876AA0" w:rsidP="00A704FA">
      <w:pPr>
        <w:pStyle w:val="RTFootnotetext"/>
      </w:pPr>
      <w:r w:rsidRPr="00A704FA">
        <w:rPr>
          <w:rStyle w:val="FootnoteReference"/>
          <w:vertAlign w:val="baseline"/>
        </w:rPr>
        <w:footnoteRef/>
      </w:r>
      <w:r w:rsidRPr="00A704FA">
        <w:t xml:space="preserve"> UN General Assembly, Convention on the Elimination of All Forms of Discrimination against Women, </w:t>
      </w:r>
      <w:r>
        <w:t xml:space="preserve">18 </w:t>
      </w:r>
      <w:r w:rsidRPr="00A704FA">
        <w:t>December 1979 (entere</w:t>
      </w:r>
      <w:r>
        <w:t>d into force 3 September 1981);</w:t>
      </w:r>
      <w:r w:rsidRPr="00A704FA">
        <w:t xml:space="preserve"> UN General Assembly, International Covenant on Economic, Social and Cultural Rights, </w:t>
      </w:r>
      <w:r>
        <w:t xml:space="preserve">16 </w:t>
      </w:r>
      <w:r w:rsidRPr="00A704FA">
        <w:t>December 1966 (ente</w:t>
      </w:r>
      <w:r>
        <w:t>red into force 3 January 1976);</w:t>
      </w:r>
      <w:r w:rsidRPr="00A704FA">
        <w:t xml:space="preserve"> American Convention on Human Rights, </w:t>
      </w:r>
      <w:r>
        <w:t xml:space="preserve">22 </w:t>
      </w:r>
      <w:r w:rsidRPr="00A704FA">
        <w:t>Nov</w:t>
      </w:r>
      <w:r>
        <w:t xml:space="preserve">ember </w:t>
      </w:r>
      <w:r w:rsidRPr="00A704FA">
        <w:t xml:space="preserve">1969, O.A.S.T.S. No. 36, O.A.S. Off. </w:t>
      </w:r>
      <w:proofErr w:type="gramStart"/>
      <w:r w:rsidRPr="00A704FA">
        <w:t>Rec. OEA/</w:t>
      </w:r>
      <w:proofErr w:type="spellStart"/>
      <w:r w:rsidRPr="00A704FA">
        <w:t>Ser.L</w:t>
      </w:r>
      <w:proofErr w:type="spellEnd"/>
      <w:r w:rsidRPr="00A704FA">
        <w:t xml:space="preserve">/V/II.23, doc. 21, rev. 6 (entered into force </w:t>
      </w:r>
      <w:r>
        <w:t xml:space="preserve">18 </w:t>
      </w:r>
      <w:r w:rsidRPr="00A704FA">
        <w:t>July 1978).</w:t>
      </w:r>
      <w:proofErr w:type="gramEnd"/>
    </w:p>
  </w:footnote>
  <w:footnote w:id="258">
    <w:p w14:paraId="7ED513CC" w14:textId="77777777" w:rsidR="00876AA0" w:rsidRPr="00A704FA" w:rsidRDefault="00876AA0" w:rsidP="00A704FA">
      <w:pPr>
        <w:pStyle w:val="RTFootnotetext"/>
      </w:pPr>
      <w:r w:rsidRPr="00A704FA">
        <w:rPr>
          <w:rStyle w:val="FootnoteReference"/>
          <w:vertAlign w:val="baseline"/>
        </w:rPr>
        <w:footnoteRef/>
      </w:r>
      <w:r w:rsidRPr="00A704FA">
        <w:t xml:space="preserve"> See Article 18, Vienna Convention on the Law of Treaties.</w:t>
      </w:r>
    </w:p>
  </w:footnote>
  <w:footnote w:id="259">
    <w:p w14:paraId="4F657963" w14:textId="77777777" w:rsidR="00876AA0" w:rsidRDefault="00876AA0" w:rsidP="00A704FA">
      <w:pPr>
        <w:pStyle w:val="RTFootnotetext"/>
      </w:pPr>
      <w:r w:rsidRPr="00A704FA">
        <w:rPr>
          <w:rStyle w:val="FootnoteReference"/>
          <w:vertAlign w:val="baseline"/>
        </w:rPr>
        <w:footnoteRef/>
      </w:r>
      <w:r w:rsidRPr="00A704FA">
        <w:t xml:space="preserve"> </w:t>
      </w:r>
      <w:proofErr w:type="gramStart"/>
      <w:r w:rsidRPr="00A704FA">
        <w:t>Article 27, Vienna Convention on the Law of Treaties.</w:t>
      </w:r>
      <w:proofErr w:type="gramEnd"/>
    </w:p>
  </w:footnote>
  <w:footnote w:id="260">
    <w:p w14:paraId="02EEA39C" w14:textId="580E438D" w:rsidR="00876AA0" w:rsidRPr="00A704FA" w:rsidRDefault="00876AA0" w:rsidP="00A704FA">
      <w:pPr>
        <w:pStyle w:val="RTFootnotetext"/>
      </w:pPr>
      <w:r w:rsidRPr="00A704FA">
        <w:rPr>
          <w:rStyle w:val="FootnoteReference"/>
          <w:vertAlign w:val="baseline"/>
        </w:rPr>
        <w:footnoteRef/>
      </w:r>
      <w:r w:rsidRPr="00A704FA">
        <w:t xml:space="preserve"> See for example: Human Rights Committee, General Comment No. 31</w:t>
      </w:r>
      <w:r>
        <w:t xml:space="preserve"> (</w:t>
      </w:r>
      <w:r w:rsidRPr="00A704FA">
        <w:t>The Nature of the General Legal Obligation Imposed on States Parties to the Covenant</w:t>
      </w:r>
      <w:r>
        <w:t>)</w:t>
      </w:r>
      <w:r w:rsidRPr="00A704FA">
        <w:t>, UN Doc CCPR/C/21/Rev.1/Add.13, 26 May 2004, para 8; Committee on Economic, Social and Cultural Rights, General Comment 12: The right to adequate food (Article 11), UN Doc E/C.12/1999/5, 12 May 1999, para</w:t>
      </w:r>
      <w:r>
        <w:t>.</w:t>
      </w:r>
      <w:r w:rsidRPr="00A704FA">
        <w:t xml:space="preserve"> 15.  </w:t>
      </w:r>
    </w:p>
  </w:footnote>
  <w:footnote w:id="261">
    <w:p w14:paraId="18074694" w14:textId="66C38082" w:rsidR="00876AA0" w:rsidRPr="00A704FA" w:rsidRDefault="00876AA0" w:rsidP="00A704FA">
      <w:pPr>
        <w:pStyle w:val="RTFootnotetext"/>
      </w:pPr>
      <w:r w:rsidRPr="00A704FA">
        <w:rPr>
          <w:rStyle w:val="FootnoteReference"/>
          <w:vertAlign w:val="baseline"/>
        </w:rPr>
        <w:footnoteRef/>
      </w:r>
      <w:r w:rsidRPr="00A704FA">
        <w:t xml:space="preserve"> Universal Declaration of Human Rights, UNGA Res 217 </w:t>
      </w:r>
      <w:proofErr w:type="gramStart"/>
      <w:r w:rsidRPr="00A704FA">
        <w:t>A(</w:t>
      </w:r>
      <w:proofErr w:type="gramEnd"/>
      <w:r w:rsidRPr="00A704FA">
        <w:t>III)</w:t>
      </w:r>
      <w:r>
        <w:t>,</w:t>
      </w:r>
      <w:r w:rsidRPr="00A704FA">
        <w:t xml:space="preserve"> </w:t>
      </w:r>
      <w:r>
        <w:t>UN Doc. A/RES/3/217/A, 10 December 1948</w:t>
      </w:r>
      <w:r w:rsidRPr="00A704FA">
        <w:t xml:space="preserve">. </w:t>
      </w:r>
    </w:p>
  </w:footnote>
  <w:footnote w:id="262">
    <w:p w14:paraId="6A2B6A5E" w14:textId="4A74814B" w:rsidR="00876AA0" w:rsidRPr="00A704FA" w:rsidRDefault="00876AA0" w:rsidP="00A704FA">
      <w:pPr>
        <w:pStyle w:val="RTFootnotetext"/>
      </w:pPr>
      <w:r w:rsidRPr="00A704FA">
        <w:rPr>
          <w:rStyle w:val="FootnoteReference"/>
          <w:vertAlign w:val="baseline"/>
        </w:rPr>
        <w:footnoteRef/>
      </w:r>
      <w:r w:rsidRPr="00A704FA">
        <w:t xml:space="preserve"> In 1963, the UN General Assembly declared that every State ‘shall fully and faithfully observe the provisions of… the Universal Declaration of Human Rights ...’ Resolution 1904 (XVIII) (20 November 1963) art 11 (adopted without a vote). In 1968, States unanimously agreed that the UDHR ‘states a common understanding of the peoples of the world concerning the inalienable and inviolable rights of all members of the human family and constitutes an obligation for the members of the international community’. See ‘Proclamation of Teheran’, Final Act of the International Conference on Human Rights UN Doc A/Conf.32/41, para. 2. The International Court of Justice has stated that the UDHR sets out ‘fundamental principles', see the case of United States Diplomatic and Consular Staff in Tehran [1980] ICJ Rep 3, para. 91.</w:t>
      </w:r>
    </w:p>
  </w:footnote>
  <w:footnote w:id="263">
    <w:p w14:paraId="1E9C7762" w14:textId="7290E7F2" w:rsidR="00876AA0" w:rsidRPr="00A704FA" w:rsidRDefault="00876AA0" w:rsidP="00A704FA">
      <w:pPr>
        <w:pStyle w:val="RTFootnotetext"/>
      </w:pPr>
      <w:r w:rsidRPr="00A704FA">
        <w:rPr>
          <w:rStyle w:val="FootnoteReference"/>
          <w:vertAlign w:val="baseline"/>
        </w:rPr>
        <w:footnoteRef/>
      </w:r>
      <w:r w:rsidRPr="00A704FA">
        <w:t xml:space="preserve"> Organization of American States (OAS), Charter of the Organization of American States,</w:t>
      </w:r>
      <w:r>
        <w:t xml:space="preserve"> 30</w:t>
      </w:r>
      <w:r w:rsidRPr="00A704FA">
        <w:t xml:space="preserve"> April 1948, Chapter XV, Article 106, The Inter-American Commission on Human Rights, Chapter XXII, Article 145, Transitory Provisions.</w:t>
      </w:r>
    </w:p>
  </w:footnote>
  <w:footnote w:id="264">
    <w:p w14:paraId="739CBF45" w14:textId="718A6F2E" w:rsidR="00876AA0" w:rsidRPr="00A704FA" w:rsidRDefault="00876AA0" w:rsidP="00A704FA">
      <w:pPr>
        <w:pStyle w:val="RTFootnotetext"/>
      </w:pPr>
      <w:r w:rsidRPr="00A704FA">
        <w:rPr>
          <w:rStyle w:val="FootnoteReference"/>
          <w:vertAlign w:val="baseline"/>
        </w:rPr>
        <w:footnoteRef/>
      </w:r>
      <w:r w:rsidRPr="00A704FA">
        <w:t xml:space="preserve"> </w:t>
      </w:r>
      <w:r>
        <w:t>‘</w:t>
      </w:r>
      <w:r w:rsidRPr="00A704FA">
        <w:t>Interpretation of the American Declaration of the Rights and Duties of Man Within the Framework of Article 64 of the American Convention on Human Rights</w:t>
      </w:r>
      <w:r>
        <w:t>’,</w:t>
      </w:r>
      <w:r w:rsidRPr="00A704FA">
        <w:t xml:space="preserve"> Advisory Opinion OC-10/89 of </w:t>
      </w:r>
      <w:r>
        <w:t xml:space="preserve">14 </w:t>
      </w:r>
      <w:r w:rsidRPr="00A704FA">
        <w:t>July 1989, para</w:t>
      </w:r>
      <w:r>
        <w:t>.</w:t>
      </w:r>
      <w:r w:rsidRPr="00A704FA">
        <w:t xml:space="preserve"> 43. </w:t>
      </w:r>
    </w:p>
  </w:footnote>
  <w:footnote w:id="265">
    <w:p w14:paraId="5F629DA5" w14:textId="0D0BBE9B" w:rsidR="00876AA0" w:rsidRDefault="00876AA0" w:rsidP="00A704FA">
      <w:pPr>
        <w:pStyle w:val="RTFootnotetext"/>
      </w:pPr>
      <w:r w:rsidRPr="00A704FA">
        <w:rPr>
          <w:rStyle w:val="FootnoteReference"/>
          <w:vertAlign w:val="baseline"/>
        </w:rPr>
        <w:footnoteRef/>
      </w:r>
      <w:r w:rsidRPr="00A704FA">
        <w:t xml:space="preserve"> Report of the Special Rapporteur on the Right to the Highest Attainable Standard of Health, U.N. General Assembly, 66th Sess., 3 August 2011, A/66/254; Office of the High Commissioner on Human Rights, </w:t>
      </w:r>
      <w:r>
        <w:t>‘</w:t>
      </w:r>
      <w:r w:rsidRPr="00A704FA">
        <w:t>Study on the impact of the world drug problem on the enjoyment of human rights</w:t>
      </w:r>
      <w:r>
        <w:t>’</w:t>
      </w:r>
      <w:r w:rsidRPr="00A704FA">
        <w:t xml:space="preserve">, 4 September 2015, UN Doc. </w:t>
      </w:r>
      <w:proofErr w:type="gramStart"/>
      <w:r w:rsidRPr="00A704FA">
        <w:t>A/HRC/30/65.</w:t>
      </w:r>
      <w:proofErr w:type="gramEnd"/>
    </w:p>
  </w:footnote>
  <w:footnote w:id="266">
    <w:p w14:paraId="5DB62D64" w14:textId="7A81F98E" w:rsidR="00876AA0" w:rsidRPr="00677EC2" w:rsidRDefault="00876AA0" w:rsidP="00677EC2">
      <w:pPr>
        <w:pStyle w:val="RTFootnotetext"/>
      </w:pPr>
      <w:r w:rsidRPr="00677EC2">
        <w:rPr>
          <w:rStyle w:val="FootnoteReference"/>
          <w:vertAlign w:val="baseline"/>
        </w:rPr>
        <w:footnoteRef/>
      </w:r>
      <w:r>
        <w:t xml:space="preserve"> </w:t>
      </w:r>
      <w:r w:rsidRPr="00677EC2">
        <w:t>R</w:t>
      </w:r>
      <w:r>
        <w:t>.</w:t>
      </w:r>
      <w:r w:rsidRPr="00677EC2">
        <w:t xml:space="preserve"> </w:t>
      </w:r>
      <w:proofErr w:type="spellStart"/>
      <w:r w:rsidRPr="00677EC2">
        <w:t>Copelon</w:t>
      </w:r>
      <w:proofErr w:type="spellEnd"/>
      <w:r w:rsidRPr="00677EC2">
        <w:t xml:space="preserve"> </w:t>
      </w:r>
      <w:proofErr w:type="gramStart"/>
      <w:r w:rsidRPr="00677EC2">
        <w:t>et</w:t>
      </w:r>
      <w:proofErr w:type="gramEnd"/>
      <w:r w:rsidRPr="00677EC2">
        <w:t>. al.</w:t>
      </w:r>
      <w:r>
        <w:t>,</w:t>
      </w:r>
      <w:r w:rsidRPr="00677EC2">
        <w:t xml:space="preserve"> ‘Human Rights Begin at Birth: International Law and the Claim of Fetal Rights’, in Reproductive Health Matters Vol. 13, No. 26, November 2005, p</w:t>
      </w:r>
      <w:r>
        <w:t>p</w:t>
      </w:r>
      <w:r w:rsidRPr="00677EC2">
        <w:t xml:space="preserve">. 120-129; While Article 4 of the Inter-American Convention on Human Rights states that the right to life “shall be protected by law and, in general, from the moment of conception,” the Inter-American Court on Human Rights has established that any interest states may have in protecting the right to life should be “gradual and incremental,” and cannot be absolute. The Court further confirmed that an embryo is not a person under the Inter-American Convention. See Inter-American Court of Human Rights, </w:t>
      </w:r>
      <w:proofErr w:type="spellStart"/>
      <w:r w:rsidRPr="00FA69FF">
        <w:rPr>
          <w:i/>
        </w:rPr>
        <w:t>Artavia</w:t>
      </w:r>
      <w:proofErr w:type="spellEnd"/>
      <w:r w:rsidRPr="00FA69FF">
        <w:rPr>
          <w:i/>
        </w:rPr>
        <w:t xml:space="preserve"> Murillo et al. (“In Vitro Fertilization”) v Costa Rica</w:t>
      </w:r>
      <w:r w:rsidRPr="00677EC2">
        <w:t>, Preliminary objections, Merits, Reparations and Costs, Judgment, Inter-American Court of Human Rights, Nov. 28, 2012, para</w:t>
      </w:r>
      <w:r>
        <w:t>.</w:t>
      </w:r>
      <w:r w:rsidRPr="00677EC2">
        <w:t xml:space="preserve"> 264 (ban on IVF violated the rights to privacy, family and equality before the law); Also see Inter-American Commission on Human Rights, </w:t>
      </w:r>
      <w:r w:rsidRPr="004D456B">
        <w:rPr>
          <w:i/>
        </w:rPr>
        <w:t>Baby Boy (case 2141)</w:t>
      </w:r>
      <w:r w:rsidRPr="00677EC2">
        <w:t>, Resolution 23/81, 6 March 1981, 25/OEA/</w:t>
      </w:r>
      <w:proofErr w:type="spellStart"/>
      <w:r w:rsidRPr="00677EC2">
        <w:t>ser.L</w:t>
      </w:r>
      <w:proofErr w:type="spellEnd"/>
      <w:r w:rsidRPr="00677EC2">
        <w:t>./V/II.54, Doc. 9 Rev.1</w:t>
      </w:r>
      <w:r>
        <w:t>.</w:t>
      </w:r>
    </w:p>
  </w:footnote>
  <w:footnote w:id="267">
    <w:p w14:paraId="30F84952" w14:textId="674FBB36" w:rsidR="00876AA0" w:rsidRPr="00677EC2" w:rsidRDefault="00876AA0" w:rsidP="00677EC2">
      <w:pPr>
        <w:pStyle w:val="RTFootnotetext"/>
      </w:pPr>
      <w:r w:rsidRPr="00677EC2">
        <w:rPr>
          <w:rStyle w:val="FootnoteReference"/>
          <w:vertAlign w:val="baseline"/>
        </w:rPr>
        <w:footnoteRef/>
      </w:r>
      <w:r>
        <w:t xml:space="preserve"> </w:t>
      </w:r>
      <w:r w:rsidRPr="00677EC2">
        <w:t>R</w:t>
      </w:r>
      <w:r>
        <w:t>.</w:t>
      </w:r>
      <w:r w:rsidRPr="00677EC2">
        <w:t xml:space="preserve"> </w:t>
      </w:r>
      <w:proofErr w:type="spellStart"/>
      <w:r w:rsidRPr="00677EC2">
        <w:t>Copelon</w:t>
      </w:r>
      <w:proofErr w:type="spellEnd"/>
      <w:r w:rsidRPr="00677EC2">
        <w:t xml:space="preserve"> </w:t>
      </w:r>
      <w:proofErr w:type="gramStart"/>
      <w:r w:rsidRPr="00677EC2">
        <w:t>et</w:t>
      </w:r>
      <w:proofErr w:type="gramEnd"/>
      <w:r w:rsidRPr="00677EC2">
        <w:t>. al.</w:t>
      </w:r>
      <w:r>
        <w:t>,</w:t>
      </w:r>
      <w:r w:rsidRPr="00677EC2">
        <w:t xml:space="preserve"> ‘Human Rights Begin at Birth: International Law and the Claim of Fetal Rights’, in Reproductive Health Matters Vol. 13, No. 26, November 2005, p. 122. </w:t>
      </w:r>
      <w:proofErr w:type="spellStart"/>
      <w:r w:rsidRPr="00677EC2">
        <w:t>Copelon</w:t>
      </w:r>
      <w:proofErr w:type="spellEnd"/>
      <w:r w:rsidRPr="00677EC2">
        <w:t xml:space="preserve"> explains that an argument to the contrary is erroneously built upon Paragraph 9 of the UN Convention on the Rights of the Child Preamble, which provides: “Bearing in mind that, as indicated in the Declaration of the Rights of the Child, ‘the child, by reason of his physical and mental immaturity, needs special safeguards and care, including appropriate legal protection, before as well as after birth.’” The </w:t>
      </w:r>
      <w:proofErr w:type="gramStart"/>
      <w:r w:rsidRPr="00677EC2">
        <w:t>history of negotiations by states on the treaty clarify</w:t>
      </w:r>
      <w:proofErr w:type="gramEnd"/>
      <w:r w:rsidRPr="00677EC2">
        <w:t xml:space="preserve"> that these safeguards “before birth,” must not affect a woman's choice to terminate an unwanted pregnancy. As originally drafted, the Preamble did not contain the reference to protection “before as well as after birth,” although this language had been used in the earlier Declaration on the Rights of the Child. The Holy See led a proposal to add this phrase, at the same time as it “stated that the purpose of the amendment was not to preclude the possibility of an abortion” (UN Commission on Human Rights, Question of a Convention on the Rights of a Child: Report of the Working Group, 36th Session, UN Doc. E/CN.4/L/1542 (1980)). Although the words “before or after birth” were accepted, their limited purpose was reinforced by the statement that “the Working Group does not intend to prejudice the interpretation of Article 1 or any other provision of the Convention by States Parties.” UN Commission on Human Rights, Report of the Working Group on a Draft Convention on the Rights of the Child, 45th Session, UN Doc. E/CN.4/1989/48 (1989), p. 10.</w:t>
      </w:r>
    </w:p>
  </w:footnote>
  <w:footnote w:id="268">
    <w:p w14:paraId="40218929" w14:textId="77777777" w:rsidR="00876AA0" w:rsidRPr="00677EC2" w:rsidRDefault="00876AA0" w:rsidP="00677EC2">
      <w:pPr>
        <w:pStyle w:val="RTFootnotetext"/>
      </w:pPr>
      <w:r w:rsidRPr="00677EC2">
        <w:rPr>
          <w:rStyle w:val="FootnoteReference"/>
          <w:vertAlign w:val="baseline"/>
        </w:rPr>
        <w:footnoteRef/>
      </w:r>
      <w:r w:rsidRPr="00677EC2">
        <w:t xml:space="preserve"> The history of the negotiations on the Covenant indicates that an amendment was proposed and rejected that stated: “the right to life is inherent in the human person from the moment of </w:t>
      </w:r>
      <w:proofErr w:type="gramStart"/>
      <w:r w:rsidRPr="00677EC2">
        <w:t>conception,</w:t>
      </w:r>
      <w:proofErr w:type="gramEnd"/>
      <w:r w:rsidRPr="00677EC2">
        <w:t xml:space="preserve"> this right shall be protected by law.” UN GAOR Annex, 12th Session, Agenda Item 33, at 96, UN Doc. </w:t>
      </w:r>
      <w:proofErr w:type="gramStart"/>
      <w:r w:rsidRPr="00677EC2">
        <w:t>A/C.3/L.654; UN GAOR, 12th Session, Agenda Item 33, at 113, A/3764, 1957.</w:t>
      </w:r>
      <w:proofErr w:type="gramEnd"/>
      <w:r w:rsidRPr="00677EC2">
        <w:t xml:space="preserve"> The Commission ultimately voted to adopt Article 6, which has no reference to conception, by a vote of 55 to nil, with 17 abstentions.</w:t>
      </w:r>
    </w:p>
  </w:footnote>
  <w:footnote w:id="269">
    <w:p w14:paraId="6197B07A" w14:textId="13079AE4" w:rsidR="00876AA0" w:rsidRPr="00677EC2" w:rsidRDefault="00876AA0" w:rsidP="00677EC2">
      <w:pPr>
        <w:pStyle w:val="RTFootnotetext"/>
      </w:pPr>
      <w:r w:rsidRPr="00677EC2">
        <w:rPr>
          <w:rStyle w:val="FootnoteReference"/>
          <w:vertAlign w:val="baseline"/>
        </w:rPr>
        <w:footnoteRef/>
      </w:r>
      <w:r w:rsidRPr="00677EC2">
        <w:t xml:space="preserve"> Human Rights Committee, Concluding observations on Ireland, </w:t>
      </w:r>
      <w:r>
        <w:t xml:space="preserve">UN Doc. </w:t>
      </w:r>
      <w:r w:rsidRPr="00677EC2">
        <w:t xml:space="preserve">CCPR/C/IRL/CO/4, para. </w:t>
      </w:r>
      <w:proofErr w:type="gramStart"/>
      <w:r w:rsidRPr="00677EC2">
        <w:t xml:space="preserve">9; Human Rights Committee, Amanda </w:t>
      </w:r>
      <w:proofErr w:type="spellStart"/>
      <w:r w:rsidRPr="00677EC2">
        <w:t>Mellet</w:t>
      </w:r>
      <w:proofErr w:type="spellEnd"/>
      <w:r w:rsidRPr="00677EC2">
        <w:t xml:space="preserve"> v Ireland.</w:t>
      </w:r>
      <w:proofErr w:type="gramEnd"/>
      <w:r w:rsidRPr="00677EC2">
        <w:t xml:space="preserve"> </w:t>
      </w:r>
      <w:r>
        <w:t xml:space="preserve">UN Doc. </w:t>
      </w:r>
      <w:r w:rsidRPr="00677EC2">
        <w:t>CCPR/C/116/D/2324/2013</w:t>
      </w:r>
      <w:r>
        <w:t>, 17 November</w:t>
      </w:r>
      <w:r w:rsidRPr="00677EC2">
        <w:t xml:space="preserve"> 2016</w:t>
      </w:r>
      <w:r>
        <w:t>.</w:t>
      </w:r>
      <w:r w:rsidRPr="00677EC2">
        <w:t xml:space="preserve">  </w:t>
      </w:r>
    </w:p>
  </w:footnote>
  <w:footnote w:id="270">
    <w:p w14:paraId="135A1635" w14:textId="77777777" w:rsidR="00876AA0" w:rsidRPr="00677EC2" w:rsidRDefault="00876AA0" w:rsidP="00677EC2">
      <w:pPr>
        <w:pStyle w:val="RTFootnotetext"/>
      </w:pPr>
      <w:r w:rsidRPr="00677EC2">
        <w:rPr>
          <w:rStyle w:val="FootnoteReference"/>
          <w:vertAlign w:val="baseline"/>
        </w:rPr>
        <w:footnoteRef/>
      </w:r>
      <w:r w:rsidRPr="00677EC2">
        <w:t xml:space="preserve"> For example, see evidence presented in Amnesty International, She is not a criminal: the impact of Ireland's restrictive abortion laws (Index: EUR 29/1597/2015).  </w:t>
      </w:r>
    </w:p>
  </w:footnote>
  <w:footnote w:id="271">
    <w:p w14:paraId="0212B996" w14:textId="03E03F45" w:rsidR="00876AA0" w:rsidRPr="00677EC2" w:rsidRDefault="00876AA0" w:rsidP="00677EC2">
      <w:pPr>
        <w:pStyle w:val="RTFootnotetext"/>
      </w:pPr>
      <w:r w:rsidRPr="00677EC2">
        <w:rPr>
          <w:rStyle w:val="FootnoteReference"/>
          <w:vertAlign w:val="baseline"/>
        </w:rPr>
        <w:footnoteRef/>
      </w:r>
      <w:r w:rsidRPr="00677EC2">
        <w:t xml:space="preserve"> For example, </w:t>
      </w:r>
      <w:r w:rsidRPr="00A20640">
        <w:rPr>
          <w:i/>
        </w:rPr>
        <w:t>Laura L. Pemberton et al. v Tallahassee Memorial Regional Medical Center</w:t>
      </w:r>
      <w:r w:rsidRPr="00677EC2">
        <w:t xml:space="preserve">, Inc. 66 Federal Supplement, 2d 1247, 1249 (N.D. Fla. 1999). </w:t>
      </w:r>
    </w:p>
  </w:footnote>
  <w:footnote w:id="272">
    <w:p w14:paraId="4B2FD139" w14:textId="35C0C872" w:rsidR="00876AA0" w:rsidRPr="00677EC2" w:rsidRDefault="00876AA0" w:rsidP="00677EC2">
      <w:pPr>
        <w:pStyle w:val="RTFootnotetext"/>
      </w:pPr>
      <w:r w:rsidRPr="00677EC2">
        <w:rPr>
          <w:rStyle w:val="FootnoteReference"/>
          <w:vertAlign w:val="baseline"/>
        </w:rPr>
        <w:footnoteRef/>
      </w:r>
      <w:r w:rsidRPr="00677EC2">
        <w:t xml:space="preserve"> See for example, Committee on Economic, Social and Cultural Rights, General Comment 14 </w:t>
      </w:r>
      <w:r>
        <w:t>(</w:t>
      </w:r>
      <w:r w:rsidRPr="00677EC2">
        <w:t>The right to the highest attainable standard of health</w:t>
      </w:r>
      <w:r>
        <w:t>)</w:t>
      </w:r>
      <w:r w:rsidRPr="00677EC2">
        <w:t xml:space="preserve">, </w:t>
      </w:r>
      <w:r>
        <w:t xml:space="preserve">11 August 2000, UN Doc. </w:t>
      </w:r>
      <w:r w:rsidRPr="00677EC2">
        <w:t xml:space="preserve">E/C.12/2000/4, para. </w:t>
      </w:r>
      <w:proofErr w:type="gramStart"/>
      <w:r w:rsidRPr="00677EC2">
        <w:t>14; CEDAW Article 12; CEDAW General Recommendation 24 on Women and Health, UN Doc.</w:t>
      </w:r>
      <w:proofErr w:type="gramEnd"/>
      <w:r w:rsidRPr="00677EC2">
        <w:t xml:space="preserve"> A/54/38/Rev.1</w:t>
      </w:r>
      <w:r>
        <w:t xml:space="preserve">, </w:t>
      </w:r>
      <w:r w:rsidRPr="00677EC2">
        <w:t>1999, para</w:t>
      </w:r>
      <w:r>
        <w:t>.</w:t>
      </w:r>
      <w:r w:rsidRPr="00677EC2">
        <w:t xml:space="preserve"> </w:t>
      </w:r>
      <w:proofErr w:type="gramStart"/>
      <w:r w:rsidRPr="00677EC2">
        <w:t>31(c).</w:t>
      </w:r>
      <w:proofErr w:type="gramEnd"/>
      <w:r w:rsidRPr="00677EC2">
        <w:t xml:space="preserve">  </w:t>
      </w:r>
    </w:p>
  </w:footnote>
  <w:footnote w:id="273">
    <w:p w14:paraId="047A56A5" w14:textId="2402C67B" w:rsidR="00876AA0" w:rsidRPr="005F4E36" w:rsidRDefault="00876AA0" w:rsidP="00677EC2">
      <w:pPr>
        <w:pStyle w:val="RTFootnotetext"/>
        <w:rPr>
          <w:color w:val="auto"/>
          <w:sz w:val="16"/>
          <w:szCs w:val="16"/>
          <w:lang w:val="en-GB"/>
        </w:rPr>
      </w:pPr>
      <w:r w:rsidRPr="00677EC2">
        <w:rPr>
          <w:rStyle w:val="FootnoteReference"/>
          <w:vertAlign w:val="baseline"/>
        </w:rPr>
        <w:footnoteRef/>
      </w:r>
      <w:r w:rsidRPr="00677EC2">
        <w:t xml:space="preserve"> </w:t>
      </w:r>
      <w:r w:rsidRPr="00A20640">
        <w:rPr>
          <w:i/>
        </w:rPr>
        <w:t>L.C. vs Peru</w:t>
      </w:r>
      <w:r>
        <w:t xml:space="preserve"> (UN Committee on the Elimination of Discrimination against Women) UN Doc. CEDAW/C/50/D/22/2009, 3 November 2011</w:t>
      </w:r>
      <w:r w:rsidRPr="00677EC2">
        <w:t xml:space="preserve">; Committee on the Elimination of Discrimination against Women, Concluding Observations on Hungary, 2013, </w:t>
      </w:r>
      <w:r w:rsidRPr="000D2F33">
        <w:t>CEDAW/C/HUN/CO/7-8</w:t>
      </w:r>
      <w:r>
        <w:t xml:space="preserve">, 1 March 2013, </w:t>
      </w:r>
      <w:r w:rsidRPr="00677EC2">
        <w:t>para</w:t>
      </w:r>
      <w:r>
        <w:t>.</w:t>
      </w:r>
      <w:r w:rsidRPr="00677EC2">
        <w:t xml:space="preserve"> 30</w:t>
      </w:r>
      <w:r>
        <w:t>.</w:t>
      </w:r>
    </w:p>
  </w:footnote>
  <w:footnote w:id="274">
    <w:p w14:paraId="7781D3AA" w14:textId="1664FA48" w:rsidR="00876AA0" w:rsidRPr="00A704FA" w:rsidRDefault="00876AA0" w:rsidP="00A704FA">
      <w:pPr>
        <w:pStyle w:val="RTFootnotetext"/>
      </w:pPr>
      <w:r w:rsidRPr="00A704FA">
        <w:rPr>
          <w:rStyle w:val="FootnoteReference"/>
          <w:vertAlign w:val="baseline"/>
        </w:rPr>
        <w:footnoteRef/>
      </w:r>
      <w:r w:rsidRPr="00A704FA">
        <w:t xml:space="preserve"> CESCR General Comment 14</w:t>
      </w:r>
      <w:r>
        <w:t>: The Right to the Highest Attainable Standard of Health (Art. 12)</w:t>
      </w:r>
      <w:r w:rsidRPr="00A704FA">
        <w:t xml:space="preserve">, </w:t>
      </w:r>
      <w:r w:rsidRPr="000C0EC8">
        <w:t>E/C.12/2000/4</w:t>
      </w:r>
      <w:r>
        <w:t xml:space="preserve">, 11 August 2000, </w:t>
      </w:r>
      <w:r w:rsidRPr="00A704FA">
        <w:t>para 32</w:t>
      </w:r>
      <w:r>
        <w:t>. (CESCR General Comment 14)</w:t>
      </w:r>
    </w:p>
  </w:footnote>
  <w:footnote w:id="275">
    <w:p w14:paraId="474AA0F6" w14:textId="408A9FE2" w:rsidR="00876AA0" w:rsidRPr="00A704FA" w:rsidRDefault="00876AA0" w:rsidP="00A704FA">
      <w:pPr>
        <w:pStyle w:val="RTFootnotetext"/>
      </w:pPr>
      <w:r w:rsidRPr="00A704FA">
        <w:rPr>
          <w:rStyle w:val="FootnoteReference"/>
          <w:vertAlign w:val="baseline"/>
        </w:rPr>
        <w:footnoteRef/>
      </w:r>
      <w:r w:rsidRPr="00A704FA">
        <w:t xml:space="preserve"> CESCR General Comment 14, para</w:t>
      </w:r>
      <w:r>
        <w:t>.</w:t>
      </w:r>
      <w:r w:rsidRPr="00A704FA">
        <w:t xml:space="preserve"> 12.</w:t>
      </w:r>
    </w:p>
  </w:footnote>
  <w:footnote w:id="276">
    <w:p w14:paraId="150DD6FC" w14:textId="512CB4E3" w:rsidR="00876AA0" w:rsidRPr="00A704FA" w:rsidRDefault="00876AA0" w:rsidP="00A704FA">
      <w:pPr>
        <w:pStyle w:val="RTFootnotetext"/>
      </w:pPr>
      <w:r w:rsidRPr="00A704FA">
        <w:rPr>
          <w:rStyle w:val="FootnoteReference"/>
          <w:vertAlign w:val="baseline"/>
        </w:rPr>
        <w:footnoteRef/>
      </w:r>
      <w:r w:rsidRPr="00A704FA">
        <w:t xml:space="preserve"> CESCR General Comment 14, para</w:t>
      </w:r>
      <w:r>
        <w:t>.</w:t>
      </w:r>
      <w:r w:rsidRPr="00A704FA">
        <w:t xml:space="preserve"> </w:t>
      </w:r>
      <w:proofErr w:type="gramStart"/>
      <w:r w:rsidRPr="00A704FA">
        <w:t>44 (a) and para</w:t>
      </w:r>
      <w:r>
        <w:t>.</w:t>
      </w:r>
      <w:proofErr w:type="gramEnd"/>
      <w:r w:rsidRPr="00A704FA">
        <w:t xml:space="preserve"> </w:t>
      </w:r>
      <w:proofErr w:type="gramStart"/>
      <w:r w:rsidRPr="00A704FA">
        <w:t>43 (a)</w:t>
      </w:r>
      <w:r>
        <w:t>.</w:t>
      </w:r>
      <w:proofErr w:type="gramEnd"/>
    </w:p>
  </w:footnote>
  <w:footnote w:id="277">
    <w:p w14:paraId="4EFD3E50" w14:textId="11E8E611" w:rsidR="00876AA0" w:rsidRPr="00A704FA" w:rsidRDefault="00876AA0" w:rsidP="00A704FA">
      <w:pPr>
        <w:pStyle w:val="RTFootnotetext"/>
      </w:pPr>
      <w:r w:rsidRPr="00A704FA">
        <w:rPr>
          <w:rStyle w:val="FootnoteReference"/>
          <w:vertAlign w:val="baseline"/>
        </w:rPr>
        <w:footnoteRef/>
      </w:r>
      <w:r w:rsidRPr="00A704FA">
        <w:t xml:space="preserve"> CESCR General Comment 14, para</w:t>
      </w:r>
      <w:r>
        <w:t>.</w:t>
      </w:r>
      <w:r w:rsidRPr="00A704FA">
        <w:t xml:space="preserve"> 11.</w:t>
      </w:r>
    </w:p>
  </w:footnote>
  <w:footnote w:id="278">
    <w:p w14:paraId="644C68D0" w14:textId="3B244FF1" w:rsidR="00876AA0" w:rsidRPr="00A704FA" w:rsidRDefault="00876AA0" w:rsidP="00A704FA">
      <w:pPr>
        <w:pStyle w:val="RTFootnotetext"/>
      </w:pPr>
      <w:r w:rsidRPr="00A704FA">
        <w:rPr>
          <w:rStyle w:val="FootnoteReference"/>
          <w:vertAlign w:val="baseline"/>
        </w:rPr>
        <w:footnoteRef/>
      </w:r>
      <w:r w:rsidRPr="00A704FA">
        <w:rPr>
          <w:rStyle w:val="FootnoteReference"/>
          <w:vertAlign w:val="baseline"/>
        </w:rPr>
        <w:t xml:space="preserve"> CESCR General Comment</w:t>
      </w:r>
      <w:r w:rsidRPr="00AB2C16">
        <w:t xml:space="preserve"> </w:t>
      </w:r>
      <w:r w:rsidRPr="00AB2C16">
        <w:rPr>
          <w:rStyle w:val="FootnoteReference"/>
          <w:vertAlign w:val="baseline"/>
        </w:rPr>
        <w:t>No. 22 (2016) on the right to sexual and reproductive health (article 12 of the International Covenant on Economic, Social and Cultural Rights)</w:t>
      </w:r>
      <w:r>
        <w:t>,</w:t>
      </w:r>
      <w:r w:rsidRPr="00A704FA">
        <w:rPr>
          <w:rStyle w:val="FootnoteReference"/>
          <w:vertAlign w:val="baseline"/>
        </w:rPr>
        <w:t xml:space="preserve"> E/C.12/GC/22</w:t>
      </w:r>
      <w:r>
        <w:rPr>
          <w:rStyle w:val="FootnoteReference"/>
          <w:vertAlign w:val="baseline"/>
        </w:rPr>
        <w:t>, 2 May 2016,</w:t>
      </w:r>
      <w:r w:rsidRPr="00A704FA">
        <w:rPr>
          <w:rStyle w:val="FootnoteReference"/>
          <w:vertAlign w:val="baseline"/>
        </w:rPr>
        <w:t xml:space="preserve"> Para. 27.</w:t>
      </w:r>
      <w:r>
        <w:t xml:space="preserve"> </w:t>
      </w:r>
      <w:r w:rsidRPr="00A704FA">
        <w:rPr>
          <w:rStyle w:val="FootnoteReference"/>
          <w:vertAlign w:val="baseline"/>
        </w:rPr>
        <w:t>”Seemingly neutral laws, policies and practices can perpetuate the already existing gender inequalities and discrimination against women. Substantive equality requires that the laws, policies and practices do not maintain, but rather alleviate, the inherent disadvantage that women experience in exercising their right to sexual and reproductive health. Gender-based stereotypes, assumptions and expectations of women as men’s subordinates and of women’s role as only caregivers and mothers in particular, are obstacles to substantive gender equality including the equal right to sexual and reproductive health and need to be modified or eliminated, as does men’s role only as heads of the household and breadwinners.  At the same time special measures, both temporary and permanent, are necessary to accelerate de facto equality of women and to protect maternity”.</w:t>
      </w:r>
    </w:p>
  </w:footnote>
  <w:footnote w:id="279">
    <w:p w14:paraId="625DE706" w14:textId="7B1BA478" w:rsidR="00876AA0" w:rsidRPr="00A704FA" w:rsidRDefault="00876AA0" w:rsidP="00A704FA">
      <w:pPr>
        <w:pStyle w:val="RTFootnotetext"/>
      </w:pPr>
      <w:r w:rsidRPr="00A704FA">
        <w:rPr>
          <w:rStyle w:val="FootnoteReference"/>
          <w:vertAlign w:val="baseline"/>
        </w:rPr>
        <w:footnoteRef/>
      </w:r>
      <w:r w:rsidRPr="00A704FA">
        <w:t xml:space="preserve"> </w:t>
      </w:r>
      <w:r w:rsidRPr="00AB2C16">
        <w:t>International Convention on the Elimination of All Forms of Racial Discrimination</w:t>
      </w:r>
      <w:r>
        <w:t>,</w:t>
      </w:r>
      <w:r w:rsidRPr="00AB2C16">
        <w:t xml:space="preserve"> </w:t>
      </w:r>
      <w:r w:rsidRPr="00A704FA">
        <w:t>Article 5(e</w:t>
      </w:r>
      <w:proofErr w:type="gramStart"/>
      <w:r w:rsidRPr="00A704FA">
        <w:t>)(</w:t>
      </w:r>
      <w:proofErr w:type="gramEnd"/>
      <w:r w:rsidRPr="00A704FA">
        <w:t>iv)</w:t>
      </w:r>
      <w:r>
        <w:t>,</w:t>
      </w:r>
      <w:r w:rsidRPr="00A704FA">
        <w:t xml:space="preserve"> </w:t>
      </w:r>
      <w:r w:rsidRPr="00AB2C16">
        <w:t xml:space="preserve">entry into force 4 January 1969 </w:t>
      </w:r>
      <w:r>
        <w:t>(</w:t>
      </w:r>
      <w:r w:rsidRPr="00A704FA">
        <w:t>CERD</w:t>
      </w:r>
      <w:r>
        <w:t>).</w:t>
      </w:r>
    </w:p>
  </w:footnote>
  <w:footnote w:id="280">
    <w:p w14:paraId="4774CDDC" w14:textId="2259FC56" w:rsidR="00876AA0" w:rsidRPr="00A704FA" w:rsidRDefault="00876AA0" w:rsidP="00A704FA">
      <w:pPr>
        <w:pStyle w:val="RTFootnotetext"/>
      </w:pPr>
      <w:r w:rsidRPr="00A704FA">
        <w:rPr>
          <w:rStyle w:val="FootnoteReference"/>
          <w:vertAlign w:val="baseline"/>
        </w:rPr>
        <w:footnoteRef/>
      </w:r>
      <w:r w:rsidRPr="00A704FA">
        <w:t xml:space="preserve"> Amnesty International USA, Deadly Delivery: The Maternal Health Care Crisis in the USA (Index: AMR: 51/007/2010); Center for Reproductive Rights</w:t>
      </w:r>
      <w:r>
        <w:t>,</w:t>
      </w:r>
      <w:r w:rsidRPr="00A704FA">
        <w:t xml:space="preserve"> </w:t>
      </w:r>
      <w:r>
        <w:t>‘</w:t>
      </w:r>
      <w:r w:rsidRPr="00A704FA">
        <w:t>Reproductive Injustice: Racial and Gender Discrimination in U.S. Health Care</w:t>
      </w:r>
      <w:r>
        <w:t xml:space="preserve">, </w:t>
      </w:r>
      <w:r w:rsidRPr="00AB2C16">
        <w:t>www.reproductiverights.org/document/reproductive-injustice-racial-and-gender-discrimination-in-us-health-care</w:t>
      </w:r>
    </w:p>
  </w:footnote>
  <w:footnote w:id="281">
    <w:p w14:paraId="670A545A" w14:textId="498D7B34" w:rsidR="00876AA0" w:rsidRPr="00677EC2" w:rsidRDefault="00876AA0" w:rsidP="00EC0AD9">
      <w:pPr>
        <w:pStyle w:val="RTFootnotetext"/>
      </w:pPr>
      <w:r w:rsidRPr="00677EC2">
        <w:rPr>
          <w:rStyle w:val="FootnoteReference"/>
          <w:vertAlign w:val="baseline"/>
        </w:rPr>
        <w:footnoteRef/>
      </w:r>
      <w:r w:rsidRPr="00677EC2">
        <w:t xml:space="preserve"> </w:t>
      </w:r>
      <w:proofErr w:type="gramStart"/>
      <w:r w:rsidRPr="00677EC2">
        <w:t>CERD Concluding observations to the USA 2008</w:t>
      </w:r>
      <w:r>
        <w:t>,</w:t>
      </w:r>
      <w:r w:rsidRPr="00EC0AD9">
        <w:t xml:space="preserve"> </w:t>
      </w:r>
      <w:r>
        <w:t xml:space="preserve">UN Doc. </w:t>
      </w:r>
      <w:r w:rsidRPr="004D456B">
        <w:rPr>
          <w:lang w:val="es-US"/>
        </w:rPr>
        <w:t xml:space="preserve">CERD/C/USA/CO/6, 8 </w:t>
      </w:r>
      <w:proofErr w:type="spellStart"/>
      <w:r w:rsidRPr="004D456B">
        <w:rPr>
          <w:lang w:val="es-US"/>
        </w:rPr>
        <w:t>May</w:t>
      </w:r>
      <w:proofErr w:type="spellEnd"/>
      <w:r w:rsidRPr="004D456B">
        <w:rPr>
          <w:lang w:val="es-US"/>
        </w:rPr>
        <w:t xml:space="preserve"> 2008, para.</w:t>
      </w:r>
      <w:proofErr w:type="gramEnd"/>
      <w:r w:rsidRPr="004D456B">
        <w:rPr>
          <w:lang w:val="es-US"/>
        </w:rPr>
        <w:t xml:space="preserve"> </w:t>
      </w:r>
      <w:r w:rsidRPr="00677EC2">
        <w:t>32.</w:t>
      </w:r>
    </w:p>
  </w:footnote>
  <w:footnote w:id="282">
    <w:p w14:paraId="1252DBF6" w14:textId="71322A22" w:rsidR="00876AA0" w:rsidRPr="00677EC2" w:rsidRDefault="00876AA0" w:rsidP="00677EC2">
      <w:pPr>
        <w:pStyle w:val="RTFootnotetext"/>
      </w:pPr>
      <w:r w:rsidRPr="00677EC2">
        <w:rPr>
          <w:rStyle w:val="FootnoteReference"/>
          <w:vertAlign w:val="baseline"/>
        </w:rPr>
        <w:footnoteRef/>
      </w:r>
      <w:r w:rsidRPr="00677EC2">
        <w:t xml:space="preserve"> </w:t>
      </w:r>
      <w:proofErr w:type="gramStart"/>
      <w:r w:rsidRPr="00677EC2">
        <w:t xml:space="preserve">Human Rights Committee, </w:t>
      </w:r>
      <w:r w:rsidRPr="004D456B">
        <w:rPr>
          <w:i/>
        </w:rPr>
        <w:t>Judge v. Canada</w:t>
      </w:r>
      <w:r w:rsidRPr="00677EC2">
        <w:t>, Communication No. 829/1998, para.</w:t>
      </w:r>
      <w:proofErr w:type="gramEnd"/>
      <w:r w:rsidRPr="00677EC2">
        <w:t xml:space="preserve"> </w:t>
      </w:r>
      <w:proofErr w:type="gramStart"/>
      <w:r w:rsidRPr="00677EC2">
        <w:t>10.5; see also, Human Rights Committee, General Comment 6, Article 6 (Right to life), para.</w:t>
      </w:r>
      <w:proofErr w:type="gramEnd"/>
      <w:r w:rsidRPr="00677EC2">
        <w:t xml:space="preserve"> 1: “It is a right which should not be interpreted narrowly”</w:t>
      </w:r>
      <w:r>
        <w:t>.</w:t>
      </w:r>
      <w:r w:rsidRPr="00677EC2">
        <w:t xml:space="preserve">  </w:t>
      </w:r>
    </w:p>
  </w:footnote>
  <w:footnote w:id="283">
    <w:p w14:paraId="0FCD28FD" w14:textId="79FC2914" w:rsidR="00876AA0" w:rsidRPr="00677EC2" w:rsidRDefault="00876AA0" w:rsidP="00677EC2">
      <w:pPr>
        <w:pStyle w:val="RTFootnotetext"/>
      </w:pPr>
      <w:r w:rsidRPr="00677EC2">
        <w:rPr>
          <w:rStyle w:val="FootnoteReference"/>
          <w:vertAlign w:val="baseline"/>
        </w:rPr>
        <w:footnoteRef/>
      </w:r>
      <w:r w:rsidRPr="00677EC2">
        <w:t xml:space="preserve"> </w:t>
      </w:r>
      <w:proofErr w:type="gramStart"/>
      <w:r w:rsidRPr="00677EC2">
        <w:t>Human Rights Committee, General Comment 6, Article 6 (Right to life), para</w:t>
      </w:r>
      <w:r>
        <w:t>.</w:t>
      </w:r>
      <w:proofErr w:type="gramEnd"/>
      <w:r w:rsidRPr="00677EC2">
        <w:t xml:space="preserve"> 5.</w:t>
      </w:r>
    </w:p>
  </w:footnote>
  <w:footnote w:id="284">
    <w:p w14:paraId="4CAA235D" w14:textId="564095D4" w:rsidR="00876AA0" w:rsidRPr="00677EC2" w:rsidRDefault="00876AA0" w:rsidP="00677EC2">
      <w:pPr>
        <w:pStyle w:val="RTFootnotetext"/>
      </w:pPr>
      <w:r w:rsidRPr="00677EC2">
        <w:rPr>
          <w:rStyle w:val="FootnoteReference"/>
          <w:vertAlign w:val="baseline"/>
        </w:rPr>
        <w:footnoteRef/>
      </w:r>
      <w:r w:rsidRPr="00677EC2">
        <w:t xml:space="preserve"> UN Committee on the Elimination of Discrimination </w:t>
      </w:r>
      <w:r>
        <w:t>a</w:t>
      </w:r>
      <w:r w:rsidRPr="00677EC2">
        <w:t xml:space="preserve">gainst Women (CEDAW), CEDAW General Recommendation No. 24: Article 12 of the Convention (Women and Health), 4 May 1999, </w:t>
      </w:r>
      <w:r>
        <w:t xml:space="preserve">UN Doc. </w:t>
      </w:r>
      <w:r w:rsidRPr="00677EC2">
        <w:t>A/54/38 Part 1, para</w:t>
      </w:r>
      <w:r>
        <w:t>.</w:t>
      </w:r>
      <w:r w:rsidRPr="00677EC2">
        <w:t xml:space="preserve"> </w:t>
      </w:r>
      <w:proofErr w:type="gramStart"/>
      <w:r w:rsidRPr="00677EC2">
        <w:t>31 (c)-9(f)</w:t>
      </w:r>
      <w:r>
        <w:t>.</w:t>
      </w:r>
      <w:proofErr w:type="gramEnd"/>
    </w:p>
  </w:footnote>
  <w:footnote w:id="285">
    <w:p w14:paraId="361B7C21" w14:textId="624762D2" w:rsidR="00876AA0" w:rsidRPr="00677EC2" w:rsidRDefault="00876AA0" w:rsidP="00677EC2">
      <w:pPr>
        <w:pStyle w:val="RTFootnotetext"/>
      </w:pPr>
      <w:r w:rsidRPr="00677EC2">
        <w:rPr>
          <w:rStyle w:val="FootnoteReference"/>
          <w:vertAlign w:val="baseline"/>
        </w:rPr>
        <w:footnoteRef/>
      </w:r>
      <w:r w:rsidRPr="00677EC2">
        <w:t xml:space="preserve"> </w:t>
      </w:r>
      <w:r w:rsidR="001D35EE" w:rsidRPr="00677EC2">
        <w:t>Committee on the Elimination of Discrimination against Women</w:t>
      </w:r>
      <w:r w:rsidR="001D35EE">
        <w:t>,</w:t>
      </w:r>
      <w:r w:rsidR="001D35EE" w:rsidRPr="001D35EE">
        <w:rPr>
          <w:i/>
        </w:rPr>
        <w:t xml:space="preserve"> </w:t>
      </w:r>
      <w:proofErr w:type="spellStart"/>
      <w:r w:rsidRPr="004D456B">
        <w:rPr>
          <w:i/>
        </w:rPr>
        <w:t>Alyne</w:t>
      </w:r>
      <w:proofErr w:type="spellEnd"/>
      <w:r w:rsidRPr="004D456B">
        <w:rPr>
          <w:i/>
        </w:rPr>
        <w:t xml:space="preserve"> da Silva Pimentel v Brazil</w:t>
      </w:r>
      <w:r w:rsidRPr="00677EC2">
        <w:t xml:space="preserve">, Communication No. 17/2008, August 10, 2011, </w:t>
      </w:r>
      <w:r>
        <w:t xml:space="preserve">UN Doc. </w:t>
      </w:r>
      <w:r w:rsidRPr="00677EC2">
        <w:t>CEDAW/C/49/D/17/2008, para</w:t>
      </w:r>
      <w:r>
        <w:t>.</w:t>
      </w:r>
      <w:r w:rsidRPr="00677EC2">
        <w:t xml:space="preserve"> 3.2</w:t>
      </w:r>
      <w:r>
        <w:t>.</w:t>
      </w:r>
    </w:p>
  </w:footnote>
  <w:footnote w:id="286">
    <w:p w14:paraId="2BD52406" w14:textId="6122BB14" w:rsidR="00876AA0" w:rsidRDefault="00876AA0">
      <w:pPr>
        <w:pStyle w:val="FootnoteText"/>
      </w:pPr>
      <w:r w:rsidRPr="007C6AEE">
        <w:rPr>
          <w:rStyle w:val="FootnoteReference"/>
          <w:vertAlign w:val="baseline"/>
        </w:rPr>
        <w:footnoteRef/>
      </w:r>
      <w:r>
        <w:t xml:space="preserve"> </w:t>
      </w:r>
      <w:proofErr w:type="gramStart"/>
      <w:r w:rsidRPr="00677EC2">
        <w:t>Report of the Working Group on the issue of discrimination against women in law and practice</w:t>
      </w:r>
      <w:r>
        <w:t>,</w:t>
      </w:r>
      <w:r w:rsidRPr="00677EC2">
        <w:t xml:space="preserve"> 8 April 2016</w:t>
      </w:r>
      <w:r>
        <w:t>,</w:t>
      </w:r>
      <w:r w:rsidRPr="00677EC2">
        <w:t xml:space="preserve"> UN Doc.</w:t>
      </w:r>
      <w:proofErr w:type="gramEnd"/>
      <w:r w:rsidRPr="00677EC2">
        <w:t xml:space="preserve"> </w:t>
      </w:r>
      <w:proofErr w:type="gramStart"/>
      <w:r w:rsidRPr="00677EC2">
        <w:t>A/HRC/32/44</w:t>
      </w:r>
      <w:r>
        <w:t>, para.</w:t>
      </w:r>
      <w:proofErr w:type="gramEnd"/>
      <w:r>
        <w:t xml:space="preserve"> 14</w:t>
      </w:r>
      <w:r w:rsidRPr="00677EC2">
        <w:t>.</w:t>
      </w:r>
    </w:p>
  </w:footnote>
  <w:footnote w:id="287">
    <w:p w14:paraId="5775D38E" w14:textId="55710D08" w:rsidR="00876AA0" w:rsidRPr="00677EC2" w:rsidRDefault="00876AA0" w:rsidP="00677EC2">
      <w:pPr>
        <w:pStyle w:val="RTFootnotetext"/>
      </w:pPr>
      <w:r w:rsidRPr="00677EC2">
        <w:rPr>
          <w:rStyle w:val="FootnoteReference"/>
          <w:vertAlign w:val="baseline"/>
        </w:rPr>
        <w:footnoteRef/>
      </w:r>
      <w:r w:rsidRPr="00677EC2">
        <w:t xml:space="preserve"> American Declaration on the Rights and Duties of Man, </w:t>
      </w:r>
      <w:r>
        <w:t xml:space="preserve">1948, </w:t>
      </w:r>
      <w:r w:rsidRPr="00677EC2">
        <w:t>Article 7</w:t>
      </w:r>
      <w:r>
        <w:t>.</w:t>
      </w:r>
    </w:p>
  </w:footnote>
  <w:footnote w:id="288">
    <w:p w14:paraId="5E41D90F" w14:textId="6D0DD601" w:rsidR="00876AA0" w:rsidRPr="00677EC2" w:rsidRDefault="00876AA0" w:rsidP="00677EC2">
      <w:pPr>
        <w:pStyle w:val="RTFootnotetext"/>
      </w:pPr>
      <w:r w:rsidRPr="00677EC2">
        <w:rPr>
          <w:rStyle w:val="FootnoteReference"/>
          <w:vertAlign w:val="baseline"/>
        </w:rPr>
        <w:footnoteRef/>
      </w:r>
      <w:r w:rsidRPr="00677EC2">
        <w:t xml:space="preserve"> Universal Declaration of Human Rights, Article 25</w:t>
      </w:r>
      <w:r>
        <w:t>.</w:t>
      </w:r>
    </w:p>
  </w:footnote>
  <w:footnote w:id="289">
    <w:p w14:paraId="6EF313E5" w14:textId="128A6C5A" w:rsidR="00876AA0" w:rsidRPr="00623FD9" w:rsidRDefault="00876AA0" w:rsidP="00677EC2">
      <w:pPr>
        <w:pStyle w:val="RTFootnotetext"/>
      </w:pPr>
      <w:r w:rsidRPr="00677EC2">
        <w:rPr>
          <w:rStyle w:val="FootnoteReference"/>
          <w:vertAlign w:val="baseline"/>
        </w:rPr>
        <w:footnoteRef/>
      </w:r>
      <w:r w:rsidRPr="00677EC2">
        <w:t xml:space="preserve"> These restrictions can “violate the right to health by infringing human dignity by restricting the freedoms to which individuals are entitled under the right to health, particularly in respect of decision-making and bodily integrity. The application of such laws as a means to achieving certain public health outcomes is often ineffective and disproportionate.” See Report of the Special Rapporteur on the Right to the Highest Attainable Standard of Health, U.N. General Assembly, 66th Sess., 3 August 2011, </w:t>
      </w:r>
      <w:r>
        <w:t xml:space="preserve">UN Doc. </w:t>
      </w:r>
      <w:proofErr w:type="gramStart"/>
      <w:r w:rsidRPr="00677EC2">
        <w:t>A/66/254, para</w:t>
      </w:r>
      <w:r>
        <w:t>.</w:t>
      </w:r>
      <w:proofErr w:type="gramEnd"/>
      <w:r w:rsidRPr="00677EC2">
        <w:t xml:space="preserve"> </w:t>
      </w:r>
      <w:proofErr w:type="gramStart"/>
      <w:r w:rsidRPr="00677EC2">
        <w:t>65 (n).</w:t>
      </w:r>
      <w:proofErr w:type="gramEnd"/>
    </w:p>
  </w:footnote>
  <w:footnote w:id="290">
    <w:p w14:paraId="7E4F1E77" w14:textId="7EDCB920" w:rsidR="00876AA0" w:rsidRPr="00677EC2" w:rsidRDefault="00876AA0" w:rsidP="00677EC2">
      <w:pPr>
        <w:pStyle w:val="RTFootnotetext"/>
      </w:pPr>
      <w:r w:rsidRPr="00677EC2">
        <w:rPr>
          <w:rStyle w:val="FootnoteReference"/>
          <w:vertAlign w:val="baseline"/>
        </w:rPr>
        <w:footnoteRef/>
      </w:r>
      <w:r w:rsidRPr="00677EC2">
        <w:t xml:space="preserve"> </w:t>
      </w:r>
      <w:proofErr w:type="gramStart"/>
      <w:r w:rsidRPr="00677EC2">
        <w:t>Report of the Working Group on the issue of discrimination against women in law and practice</w:t>
      </w:r>
      <w:r>
        <w:t>,</w:t>
      </w:r>
      <w:r w:rsidRPr="00677EC2">
        <w:t xml:space="preserve"> 8 April 2016</w:t>
      </w:r>
      <w:r>
        <w:t>,</w:t>
      </w:r>
      <w:r w:rsidRPr="00677EC2">
        <w:t xml:space="preserve"> UN Doc.</w:t>
      </w:r>
      <w:proofErr w:type="gramEnd"/>
      <w:r w:rsidRPr="00677EC2">
        <w:t xml:space="preserve"> </w:t>
      </w:r>
      <w:proofErr w:type="gramStart"/>
      <w:r w:rsidRPr="00677EC2">
        <w:t>A/HRC/32/44</w:t>
      </w:r>
      <w:r>
        <w:t>, p</w:t>
      </w:r>
      <w:r w:rsidRPr="00677EC2">
        <w:t>ara.</w:t>
      </w:r>
      <w:proofErr w:type="gramEnd"/>
      <w:r w:rsidRPr="00677EC2">
        <w:t xml:space="preserve"> 39.</w:t>
      </w:r>
    </w:p>
  </w:footnote>
  <w:footnote w:id="291">
    <w:p w14:paraId="3C50B92F" w14:textId="4FE045FF" w:rsidR="00876AA0" w:rsidRPr="00677EC2" w:rsidRDefault="00876AA0" w:rsidP="00677EC2">
      <w:pPr>
        <w:pStyle w:val="RTFootnotetext"/>
      </w:pPr>
      <w:r w:rsidRPr="00677EC2">
        <w:rPr>
          <w:rStyle w:val="FootnoteReference"/>
          <w:vertAlign w:val="baseline"/>
        </w:rPr>
        <w:footnoteRef/>
      </w:r>
      <w:r w:rsidRPr="00677EC2">
        <w:t xml:space="preserve"> Report of the Special Rapporteur on the Right to the Highest Attainable Standard of Health, U.N. General Assembly, 66th Sess., 3 August 2011, </w:t>
      </w:r>
      <w:r>
        <w:t xml:space="preserve">UN Doc. </w:t>
      </w:r>
      <w:proofErr w:type="gramStart"/>
      <w:r w:rsidRPr="00677EC2">
        <w:t>A/66/254.</w:t>
      </w:r>
      <w:proofErr w:type="gramEnd"/>
    </w:p>
  </w:footnote>
  <w:footnote w:id="292">
    <w:p w14:paraId="7FDD26F2" w14:textId="0BEC578A" w:rsidR="00876AA0" w:rsidRPr="00677EC2" w:rsidRDefault="00876AA0" w:rsidP="00677EC2">
      <w:pPr>
        <w:pStyle w:val="RTFootnotetext"/>
      </w:pPr>
      <w:r w:rsidRPr="00677EC2">
        <w:rPr>
          <w:rStyle w:val="FootnoteReference"/>
          <w:vertAlign w:val="baseline"/>
        </w:rPr>
        <w:footnoteRef/>
      </w:r>
      <w:r w:rsidRPr="00677EC2">
        <w:t xml:space="preserve"> Report of the Special Rapporteur on the Right to the Highest Attainable Standard of Health, U.N. General Assembly, 66th Sess., 3 August 2011, </w:t>
      </w:r>
      <w:r>
        <w:t xml:space="preserve">UN Doc. </w:t>
      </w:r>
      <w:proofErr w:type="gramStart"/>
      <w:r w:rsidRPr="00677EC2">
        <w:t>A/66/254</w:t>
      </w:r>
      <w:r>
        <w:t>,</w:t>
      </w:r>
      <w:r w:rsidRPr="00677EC2">
        <w:t xml:space="preserve"> summary para.</w:t>
      </w:r>
      <w:proofErr w:type="gramEnd"/>
      <w:r w:rsidRPr="00677EC2">
        <w:t xml:space="preserve"> </w:t>
      </w:r>
    </w:p>
  </w:footnote>
  <w:footnote w:id="293">
    <w:p w14:paraId="7FD03C9B" w14:textId="1664CBCB" w:rsidR="00876AA0" w:rsidRPr="00677EC2" w:rsidRDefault="00876AA0" w:rsidP="00677EC2">
      <w:pPr>
        <w:pStyle w:val="RTFootnotetext"/>
      </w:pPr>
      <w:r w:rsidRPr="00677EC2">
        <w:rPr>
          <w:rStyle w:val="FootnoteReference"/>
          <w:vertAlign w:val="baseline"/>
        </w:rPr>
        <w:footnoteRef/>
      </w:r>
      <w:r w:rsidRPr="00677EC2">
        <w:t xml:space="preserve"> </w:t>
      </w:r>
      <w:proofErr w:type="gramStart"/>
      <w:r w:rsidRPr="00677EC2">
        <w:t xml:space="preserve">World Health Organization, </w:t>
      </w:r>
      <w:r>
        <w:t>‘</w:t>
      </w:r>
      <w:r w:rsidRPr="00677EC2">
        <w:t>Guidelines for the Psychosocially Assisted Pharmacological Treatment of Opioid Dependence</w:t>
      </w:r>
      <w:r>
        <w:t>’</w:t>
      </w:r>
      <w:r w:rsidRPr="00677EC2">
        <w:t>, 2009, p. 9, 15.</w:t>
      </w:r>
      <w:proofErr w:type="gramEnd"/>
    </w:p>
  </w:footnote>
  <w:footnote w:id="294">
    <w:p w14:paraId="72B2084E" w14:textId="5C847940" w:rsidR="00876AA0" w:rsidRPr="00677EC2" w:rsidRDefault="00876AA0" w:rsidP="00677EC2">
      <w:pPr>
        <w:pStyle w:val="RTFootnotetext"/>
      </w:pPr>
      <w:r w:rsidRPr="00677EC2">
        <w:rPr>
          <w:rStyle w:val="FootnoteReference"/>
          <w:vertAlign w:val="baseline"/>
        </w:rPr>
        <w:footnoteRef/>
      </w:r>
      <w:r w:rsidRPr="00677EC2">
        <w:t xml:space="preserve"> </w:t>
      </w:r>
      <w:r>
        <w:t xml:space="preserve">T.L. </w:t>
      </w:r>
      <w:r w:rsidRPr="00677EC2">
        <w:t xml:space="preserve">Beauchamp, </w:t>
      </w:r>
      <w:r>
        <w:t xml:space="preserve">J.F. </w:t>
      </w:r>
      <w:r w:rsidRPr="00677EC2">
        <w:t>Childress</w:t>
      </w:r>
      <w:r>
        <w:t>,</w:t>
      </w:r>
      <w:r w:rsidRPr="00677EC2">
        <w:t xml:space="preserve"> </w:t>
      </w:r>
      <w:r>
        <w:t>‘</w:t>
      </w:r>
      <w:r w:rsidRPr="00677EC2">
        <w:t>Principles of Biomedical Ethics</w:t>
      </w:r>
      <w:r>
        <w:t>’,</w:t>
      </w:r>
      <w:r w:rsidRPr="00677EC2">
        <w:t xml:space="preserve"> 5th ed. Oxford: Oxford University Press</w:t>
      </w:r>
      <w:r>
        <w:t>,</w:t>
      </w:r>
      <w:r w:rsidRPr="00677EC2">
        <w:t xml:space="preserve"> 2001.</w:t>
      </w:r>
      <w:r w:rsidRPr="00677EC2">
        <w:tab/>
      </w:r>
    </w:p>
  </w:footnote>
  <w:footnote w:id="295">
    <w:p w14:paraId="32F59E3C" w14:textId="284CCA1D" w:rsidR="00876AA0" w:rsidRPr="00677EC2" w:rsidRDefault="00876AA0" w:rsidP="00677EC2">
      <w:pPr>
        <w:pStyle w:val="RTFootnotetext"/>
      </w:pPr>
      <w:r w:rsidRPr="00677EC2">
        <w:rPr>
          <w:rStyle w:val="FootnoteReference"/>
          <w:vertAlign w:val="baseline"/>
        </w:rPr>
        <w:footnoteRef/>
      </w:r>
      <w:r w:rsidRPr="00677EC2">
        <w:t xml:space="preserve"> </w:t>
      </w:r>
      <w:r>
        <w:t xml:space="preserve">N.R. </w:t>
      </w:r>
      <w:proofErr w:type="spellStart"/>
      <w:r w:rsidRPr="00677EC2">
        <w:t>Madhava</w:t>
      </w:r>
      <w:proofErr w:type="spellEnd"/>
      <w:r w:rsidRPr="00677EC2">
        <w:t xml:space="preserve"> Menon</w:t>
      </w:r>
      <w:r>
        <w:t>,</w:t>
      </w:r>
      <w:r w:rsidRPr="00677EC2">
        <w:t xml:space="preserve"> </w:t>
      </w:r>
      <w:r>
        <w:t>‘</w:t>
      </w:r>
      <w:r w:rsidRPr="00677EC2">
        <w:t xml:space="preserve">Medical ethics and </w:t>
      </w:r>
      <w:r>
        <w:t>healthcare</w:t>
      </w:r>
      <w:r w:rsidRPr="00677EC2">
        <w:t xml:space="preserve"> - issues and perspectives</w:t>
      </w:r>
      <w:r>
        <w:t>’,</w:t>
      </w:r>
      <w:r w:rsidRPr="00677EC2">
        <w:t xml:space="preserve"> Karnataka Med</w:t>
      </w:r>
      <w:r>
        <w:t>ical</w:t>
      </w:r>
      <w:r w:rsidRPr="00677EC2">
        <w:t xml:space="preserve"> J</w:t>
      </w:r>
      <w:r>
        <w:t>ournal 71:2-9,</w:t>
      </w:r>
      <w:r w:rsidRPr="00677EC2">
        <w:t xml:space="preserve"> 2000.</w:t>
      </w:r>
    </w:p>
  </w:footnote>
  <w:footnote w:id="296">
    <w:p w14:paraId="13C42E0E" w14:textId="3D423286" w:rsidR="00876AA0" w:rsidRPr="00677EC2" w:rsidRDefault="00876AA0" w:rsidP="00677EC2">
      <w:pPr>
        <w:pStyle w:val="RTFootnotetext"/>
      </w:pPr>
      <w:r w:rsidRPr="00677EC2">
        <w:rPr>
          <w:rStyle w:val="FootnoteReference"/>
          <w:vertAlign w:val="baseline"/>
        </w:rPr>
        <w:footnoteRef/>
      </w:r>
      <w:r w:rsidRPr="00677EC2">
        <w:t xml:space="preserve"> </w:t>
      </w:r>
      <w:proofErr w:type="gramStart"/>
      <w:r w:rsidRPr="00677EC2">
        <w:t>Report of the Special Rapporteur on Right of everyone to the enjoyment of the highest attainable standard of physical and mental health, 10 August 2009, UN Doc.</w:t>
      </w:r>
      <w:proofErr w:type="gramEnd"/>
      <w:r w:rsidRPr="00677EC2">
        <w:t xml:space="preserve"> </w:t>
      </w:r>
      <w:proofErr w:type="gramStart"/>
      <w:r w:rsidRPr="00677EC2">
        <w:t>A/64/272 para</w:t>
      </w:r>
      <w:r>
        <w:t>.</w:t>
      </w:r>
      <w:proofErr w:type="gramEnd"/>
      <w:r w:rsidRPr="00677EC2">
        <w:t xml:space="preserve"> 9.</w:t>
      </w:r>
    </w:p>
  </w:footnote>
  <w:footnote w:id="297">
    <w:p w14:paraId="682782C9" w14:textId="0A0C3DED" w:rsidR="00876AA0" w:rsidRPr="00623FD9" w:rsidRDefault="00876AA0" w:rsidP="00677EC2">
      <w:pPr>
        <w:pStyle w:val="RTFootnotetext"/>
      </w:pPr>
      <w:r w:rsidRPr="00677EC2">
        <w:rPr>
          <w:rStyle w:val="FootnoteReference"/>
          <w:vertAlign w:val="baseline"/>
        </w:rPr>
        <w:footnoteRef/>
      </w:r>
      <w:r w:rsidRPr="00677EC2">
        <w:t xml:space="preserve"> </w:t>
      </w:r>
      <w:proofErr w:type="gramStart"/>
      <w:r w:rsidRPr="00677EC2">
        <w:t>Report of the Special Rapporteur on Right of everyone to the enjoyment of the highest attainable standard of physical and mental health, 10 August 2009, UN Doc.</w:t>
      </w:r>
      <w:proofErr w:type="gramEnd"/>
      <w:r w:rsidRPr="00677EC2">
        <w:t xml:space="preserve"> </w:t>
      </w:r>
      <w:proofErr w:type="gramStart"/>
      <w:r w:rsidRPr="00677EC2">
        <w:t>A/64/272 at para</w:t>
      </w:r>
      <w:r>
        <w:t>.</w:t>
      </w:r>
      <w:proofErr w:type="gramEnd"/>
      <w:r w:rsidRPr="00677EC2">
        <w:t xml:space="preserve"> 15.</w:t>
      </w:r>
    </w:p>
  </w:footnote>
  <w:footnote w:id="298">
    <w:p w14:paraId="4ED13F99" w14:textId="77777777" w:rsidR="00876AA0" w:rsidRPr="00427FAE" w:rsidRDefault="00876AA0" w:rsidP="00427FAE">
      <w:pPr>
        <w:pStyle w:val="RTFootnotetext"/>
      </w:pPr>
      <w:r w:rsidRPr="00427FAE">
        <w:rPr>
          <w:rStyle w:val="FootnoteReference"/>
          <w:vertAlign w:val="baseline"/>
        </w:rPr>
        <w:footnoteRef/>
      </w:r>
      <w:r w:rsidRPr="00427FAE">
        <w:t xml:space="preserve"> </w:t>
      </w:r>
      <w:r w:rsidRPr="00427FAE">
        <w:rPr>
          <w:rStyle w:val="FootnoteReference"/>
          <w:vertAlign w:val="baseline"/>
        </w:rPr>
        <w:t>Report on the Special Rapporteur on torture and other cruel, inhuman or degrading treatment of punishment, 1 February 2013, UN Doc A/HRC/22/53 2013</w:t>
      </w:r>
      <w:r w:rsidRPr="00427FAE">
        <w:t>, p</w:t>
      </w:r>
      <w:r w:rsidRPr="00427FAE">
        <w:rPr>
          <w:rStyle w:val="FootnoteReference"/>
          <w:vertAlign w:val="baseline"/>
        </w:rPr>
        <w:t>ara. 38.</w:t>
      </w:r>
    </w:p>
  </w:footnote>
  <w:footnote w:id="299">
    <w:p w14:paraId="4C819D9C" w14:textId="02E5DE48" w:rsidR="00876AA0" w:rsidRPr="00427FAE" w:rsidRDefault="00876AA0" w:rsidP="00427FAE">
      <w:pPr>
        <w:pStyle w:val="RTFootnotetext"/>
      </w:pPr>
      <w:r w:rsidRPr="00427FAE">
        <w:rPr>
          <w:rStyle w:val="FootnoteReference"/>
          <w:vertAlign w:val="baseline"/>
        </w:rPr>
        <w:footnoteRef/>
      </w:r>
      <w:r w:rsidRPr="00427FAE">
        <w:t xml:space="preserve"> </w:t>
      </w:r>
      <w:proofErr w:type="gramStart"/>
      <w:r w:rsidRPr="00427FAE">
        <w:t>Report of the Special Rapporteur on torture and other cruel, inhuman or degrading treatment or punishment, 1 February 2013, UN Doc.</w:t>
      </w:r>
      <w:proofErr w:type="gramEnd"/>
      <w:r w:rsidRPr="00427FAE">
        <w:t xml:space="preserve"> </w:t>
      </w:r>
      <w:proofErr w:type="gramStart"/>
      <w:r w:rsidRPr="00427FAE">
        <w:t>A/HRC/22/53, para.</w:t>
      </w:r>
      <w:proofErr w:type="gramEnd"/>
      <w:r w:rsidRPr="00427FAE">
        <w:t xml:space="preserve"> 38.</w:t>
      </w:r>
    </w:p>
  </w:footnote>
  <w:footnote w:id="300">
    <w:p w14:paraId="23883906" w14:textId="6FB7CACD" w:rsidR="00876AA0" w:rsidRPr="00427FAE" w:rsidRDefault="00876AA0" w:rsidP="00427FAE">
      <w:pPr>
        <w:pStyle w:val="RTFootnotetext"/>
      </w:pPr>
      <w:r w:rsidRPr="00427FAE">
        <w:rPr>
          <w:rStyle w:val="FootnoteReference"/>
          <w:vertAlign w:val="baseline"/>
        </w:rPr>
        <w:footnoteRef/>
      </w:r>
      <w:r w:rsidRPr="00427FAE">
        <w:t xml:space="preserve"> </w:t>
      </w:r>
      <w:proofErr w:type="gramStart"/>
      <w:r w:rsidRPr="00427FAE">
        <w:t xml:space="preserve">Inter-American Commission on Human Rights, </w:t>
      </w:r>
      <w:r>
        <w:t>‘</w:t>
      </w:r>
      <w:r w:rsidRPr="00427FAE">
        <w:t>Access to information on reproductive health from a human rights perspective</w:t>
      </w:r>
      <w:r>
        <w:t>’</w:t>
      </w:r>
      <w:r w:rsidRPr="00427FAE">
        <w:t>, 2011, para 61.</w:t>
      </w:r>
      <w:proofErr w:type="gramEnd"/>
      <w:r w:rsidRPr="00427FAE">
        <w:t xml:space="preserve"> </w:t>
      </w:r>
    </w:p>
  </w:footnote>
  <w:footnote w:id="301">
    <w:p w14:paraId="3C005C5E" w14:textId="76282BC8" w:rsidR="00876AA0" w:rsidRPr="00427FAE" w:rsidRDefault="00876AA0" w:rsidP="00427FAE">
      <w:pPr>
        <w:pStyle w:val="RTFootnotetext"/>
      </w:pPr>
      <w:r w:rsidRPr="00427FAE">
        <w:rPr>
          <w:rStyle w:val="FootnoteReference"/>
          <w:vertAlign w:val="baseline"/>
        </w:rPr>
        <w:footnoteRef/>
      </w:r>
      <w:r w:rsidRPr="00427FAE">
        <w:t xml:space="preserve"> </w:t>
      </w:r>
      <w:r w:rsidR="001D35EE" w:rsidRPr="00677EC2">
        <w:t>Committee on the Elimination of Discrimination against Women</w:t>
      </w:r>
      <w:r w:rsidR="001D35EE">
        <w:t xml:space="preserve">, </w:t>
      </w:r>
      <w:r w:rsidR="001D35EE" w:rsidRPr="00CC5BC5">
        <w:rPr>
          <w:i/>
        </w:rPr>
        <w:t>AS v Hungary</w:t>
      </w:r>
      <w:r w:rsidR="001D35EE">
        <w:rPr>
          <w:i/>
        </w:rPr>
        <w:t>,</w:t>
      </w:r>
      <w:r w:rsidR="001D35EE">
        <w:t xml:space="preserve"> </w:t>
      </w:r>
      <w:r>
        <w:t xml:space="preserve">Communication No. 4/2004, 29 </w:t>
      </w:r>
      <w:r w:rsidRPr="00427FAE">
        <w:t>August 2006</w:t>
      </w:r>
      <w:r>
        <w:t>, UN Doc.</w:t>
      </w:r>
      <w:r w:rsidRPr="00427FAE">
        <w:t xml:space="preserve"> CEDAW/C/36/D/4/2004</w:t>
      </w:r>
      <w:r>
        <w:t>, p</w:t>
      </w:r>
      <w:r w:rsidRPr="00427FAE">
        <w:t xml:space="preserve">aras. 11.2-11.4; CEDAW General Recommendation No. 24: Women and Health (Article 12), </w:t>
      </w:r>
      <w:r>
        <w:t xml:space="preserve">5 </w:t>
      </w:r>
      <w:r w:rsidRPr="00427FAE">
        <w:t>February 5 1999</w:t>
      </w:r>
      <w:r>
        <w:t>,</w:t>
      </w:r>
      <w:r w:rsidRPr="00427FAE">
        <w:t xml:space="preserve"> </w:t>
      </w:r>
      <w:r>
        <w:t>p</w:t>
      </w:r>
      <w:r w:rsidRPr="00427FAE">
        <w:t>ara</w:t>
      </w:r>
      <w:r>
        <w:t>.</w:t>
      </w:r>
      <w:r w:rsidRPr="00427FAE">
        <w:t xml:space="preserve"> 22</w:t>
      </w:r>
      <w:r>
        <w:t>:</w:t>
      </w:r>
      <w:r w:rsidRPr="00427FAE">
        <w:t xml:space="preserve"> </w:t>
      </w:r>
      <w:r>
        <w:t>‘</w:t>
      </w:r>
      <w:r w:rsidRPr="00427FAE">
        <w:t>Acceptable services are those which are delivered in a way that ensures that a woman gives her fully informed consent, respects her dignity, guarantees her confidentiality and is sensitive to her needs and perspectives. States parties should not permit forms of coercion, such as non-consensual sterilization, mandatory testing for sexually transmitted diseases or mandatory pregnancy testing as a condition of employment that violate women's rights to informed consent and dignity</w:t>
      </w:r>
      <w:r>
        <w:t>’</w:t>
      </w:r>
      <w:r w:rsidRPr="00427FAE">
        <w:t>.</w:t>
      </w:r>
    </w:p>
  </w:footnote>
  <w:footnote w:id="302">
    <w:p w14:paraId="74E45D09" w14:textId="77777777" w:rsidR="00876AA0" w:rsidRPr="00427FAE" w:rsidRDefault="00876AA0" w:rsidP="00427FAE">
      <w:pPr>
        <w:pStyle w:val="RTFootnotetext"/>
      </w:pPr>
      <w:r w:rsidRPr="00427FAE">
        <w:rPr>
          <w:rStyle w:val="FootnoteReference"/>
          <w:vertAlign w:val="baseline"/>
        </w:rPr>
        <w:footnoteRef/>
      </w:r>
      <w:r w:rsidRPr="00427FAE">
        <w:t xml:space="preserve"> </w:t>
      </w:r>
      <w:proofErr w:type="gramStart"/>
      <w:r w:rsidRPr="00427FAE">
        <w:t>Report of the Special Rapporteur on torture and other cruel, inhuman or degrading treatment or punishment, 14 January 2009, UN Doc.</w:t>
      </w:r>
      <w:proofErr w:type="gramEnd"/>
      <w:r w:rsidRPr="00427FAE">
        <w:t xml:space="preserve"> </w:t>
      </w:r>
      <w:proofErr w:type="gramStart"/>
      <w:r w:rsidRPr="00427FAE">
        <w:t>A/HRC/10/44, para.</w:t>
      </w:r>
      <w:proofErr w:type="gramEnd"/>
      <w:r w:rsidRPr="00427FAE">
        <w:t xml:space="preserve"> 71.</w:t>
      </w:r>
    </w:p>
  </w:footnote>
  <w:footnote w:id="303">
    <w:p w14:paraId="77D208C5" w14:textId="77777777" w:rsidR="00876AA0" w:rsidRPr="00427FAE" w:rsidRDefault="00876AA0" w:rsidP="00427FAE">
      <w:pPr>
        <w:pStyle w:val="RTFootnotetext"/>
      </w:pPr>
      <w:r w:rsidRPr="00427FAE">
        <w:rPr>
          <w:rStyle w:val="FootnoteReference"/>
          <w:vertAlign w:val="baseline"/>
        </w:rPr>
        <w:footnoteRef/>
      </w:r>
      <w:r w:rsidRPr="00427FAE">
        <w:t xml:space="preserve"> </w:t>
      </w:r>
      <w:proofErr w:type="gramStart"/>
      <w:r w:rsidRPr="00427FAE">
        <w:t>Report of the Special Rapporteur on torture and other cruel, inhuman or degrading treatment or punishment, 14 January 2009, UN Doc.</w:t>
      </w:r>
      <w:proofErr w:type="gramEnd"/>
      <w:r w:rsidRPr="00427FAE">
        <w:t xml:space="preserve"> </w:t>
      </w:r>
      <w:proofErr w:type="gramStart"/>
      <w:r w:rsidRPr="00427FAE">
        <w:t>A/HRC/10/44, para.</w:t>
      </w:r>
      <w:proofErr w:type="gramEnd"/>
      <w:r w:rsidRPr="00427FAE">
        <w:t xml:space="preserve"> 72.</w:t>
      </w:r>
    </w:p>
  </w:footnote>
  <w:footnote w:id="304">
    <w:p w14:paraId="4FA759FD" w14:textId="74B6EFD1" w:rsidR="00876AA0" w:rsidRPr="00427FAE" w:rsidRDefault="00876AA0" w:rsidP="00427FAE">
      <w:pPr>
        <w:pStyle w:val="RTFootnotetext"/>
      </w:pPr>
      <w:r w:rsidRPr="00427FAE">
        <w:rPr>
          <w:rStyle w:val="FootnoteReference"/>
          <w:vertAlign w:val="baseline"/>
        </w:rPr>
        <w:footnoteRef/>
      </w:r>
      <w:r w:rsidRPr="00427FAE">
        <w:t xml:space="preserve"> </w:t>
      </w:r>
      <w:proofErr w:type="gramStart"/>
      <w:r w:rsidRPr="00427FAE">
        <w:t>Report of the Special Rapporteur on Right of everyone to the enjoyment of the highest attainable standard of physical and mental health, 10 August 2009, A/64/272 para.</w:t>
      </w:r>
      <w:proofErr w:type="gramEnd"/>
      <w:r w:rsidRPr="00427FAE">
        <w:t xml:space="preserve"> 32</w:t>
      </w:r>
      <w:r>
        <w:t>.</w:t>
      </w:r>
    </w:p>
  </w:footnote>
  <w:footnote w:id="305">
    <w:p w14:paraId="62341274" w14:textId="7509375B" w:rsidR="00876AA0" w:rsidRPr="00427FAE" w:rsidRDefault="00876AA0" w:rsidP="00427FAE">
      <w:pPr>
        <w:pStyle w:val="RTFootnotetext"/>
      </w:pPr>
      <w:r w:rsidRPr="00427FAE">
        <w:rPr>
          <w:rStyle w:val="FootnoteReference"/>
          <w:vertAlign w:val="baseline"/>
        </w:rPr>
        <w:footnoteRef/>
      </w:r>
      <w:r w:rsidRPr="00427FAE">
        <w:t xml:space="preserve"> </w:t>
      </w:r>
      <w:proofErr w:type="gramStart"/>
      <w:r w:rsidRPr="00427FAE">
        <w:t>Report of the Special Rapporteur on Right of everyone to the enjoyment of the highest attainable standard of physical and mental health, 10 August 2009, A/64/272 para.</w:t>
      </w:r>
      <w:proofErr w:type="gramEnd"/>
      <w:r w:rsidRPr="00427FAE">
        <w:t xml:space="preserve"> 32; See L.O. </w:t>
      </w:r>
      <w:proofErr w:type="spellStart"/>
      <w:r w:rsidRPr="00427FAE">
        <w:t>Gostin</w:t>
      </w:r>
      <w:proofErr w:type="spellEnd"/>
      <w:r w:rsidRPr="00427FAE">
        <w:t xml:space="preserve">, </w:t>
      </w:r>
      <w:r>
        <w:t>‘</w:t>
      </w:r>
      <w:r w:rsidRPr="00427FAE">
        <w:t>Public Health Strategies for Pandemic Influenza: Ethics and the Law</w:t>
      </w:r>
      <w:r>
        <w:t>’</w:t>
      </w:r>
      <w:r w:rsidRPr="00427FAE">
        <w:t>,</w:t>
      </w:r>
    </w:p>
    <w:p w14:paraId="02B4DA4A" w14:textId="33309BD2" w:rsidR="00876AA0" w:rsidRDefault="00876AA0" w:rsidP="00427FAE">
      <w:pPr>
        <w:pStyle w:val="RTFootnotetext"/>
      </w:pPr>
      <w:r w:rsidRPr="00427FAE">
        <w:t>Journal of the American Medical Association, vol. 295, issue 14</w:t>
      </w:r>
      <w:r>
        <w:t xml:space="preserve">, </w:t>
      </w:r>
      <w:r w:rsidRPr="00427FAE">
        <w:t>2006, pp. 1700-1704</w:t>
      </w:r>
      <w:r>
        <w:t>.</w:t>
      </w:r>
    </w:p>
  </w:footnote>
  <w:footnote w:id="306">
    <w:p w14:paraId="6F26FCCE" w14:textId="7D9D836F" w:rsidR="00876AA0" w:rsidRPr="0056154C" w:rsidRDefault="00876AA0" w:rsidP="0056154C">
      <w:pPr>
        <w:pStyle w:val="RTFootnotetext"/>
      </w:pPr>
      <w:r w:rsidRPr="0056154C">
        <w:rPr>
          <w:rStyle w:val="FootnoteReference"/>
          <w:vertAlign w:val="baseline"/>
        </w:rPr>
        <w:footnoteRef/>
      </w:r>
      <w:r w:rsidRPr="0056154C">
        <w:t xml:space="preserve"> </w:t>
      </w:r>
      <w:proofErr w:type="gramStart"/>
      <w:r w:rsidRPr="0056154C">
        <w:t xml:space="preserve">Report of the Special Rapporteur on the right of everyone to the enjoyment of the highest attainable standard of physical and mental health, </w:t>
      </w:r>
      <w:r>
        <w:t>UN Doc.</w:t>
      </w:r>
      <w:proofErr w:type="gramEnd"/>
      <w:r>
        <w:t xml:space="preserve"> </w:t>
      </w:r>
      <w:proofErr w:type="gramStart"/>
      <w:r w:rsidRPr="0056154C">
        <w:t>A/64/272</w:t>
      </w:r>
      <w:r>
        <w:t>,</w:t>
      </w:r>
      <w:r w:rsidRPr="00423450">
        <w:t xml:space="preserve"> </w:t>
      </w:r>
      <w:r w:rsidRPr="0056154C">
        <w:t>August 10, 2009, para.</w:t>
      </w:r>
      <w:proofErr w:type="gramEnd"/>
      <w:r w:rsidRPr="0056154C">
        <w:t xml:space="preserve"> 90</w:t>
      </w:r>
      <w:r>
        <w:t>.</w:t>
      </w:r>
    </w:p>
  </w:footnote>
  <w:footnote w:id="307">
    <w:p w14:paraId="24C90FD7" w14:textId="54AFCC14" w:rsidR="00876AA0" w:rsidRDefault="00876AA0" w:rsidP="008145DD">
      <w:pPr>
        <w:pStyle w:val="RTFootnotetext"/>
      </w:pPr>
      <w:r w:rsidRPr="008145DD">
        <w:rPr>
          <w:rStyle w:val="FootnoteReference"/>
          <w:vertAlign w:val="baseline"/>
        </w:rPr>
        <w:footnoteRef/>
      </w:r>
      <w:r w:rsidRPr="008145DD">
        <w:t xml:space="preserve"> </w:t>
      </w:r>
      <w:proofErr w:type="spellStart"/>
      <w:r w:rsidRPr="008145DD">
        <w:t>Nevanathem</w:t>
      </w:r>
      <w:proofErr w:type="spellEnd"/>
      <w:r w:rsidRPr="008145DD">
        <w:t xml:space="preserve"> Pillay, United Nations High Commissioner for Human Rights, </w:t>
      </w:r>
      <w:r>
        <w:t>‘</w:t>
      </w:r>
      <w:r w:rsidRPr="008145DD">
        <w:t>High Commissioner calls for focus on human rights and harm reduction in international drug policy</w:t>
      </w:r>
      <w:r>
        <w:t>’,</w:t>
      </w:r>
      <w:r w:rsidRPr="008145DD">
        <w:t xml:space="preserve"> 10 March 2009, </w:t>
      </w:r>
      <w:hyperlink r:id="rId61" w:history="1">
        <w:r w:rsidRPr="008145DD">
          <w:rPr>
            <w:rStyle w:val="Hyperlink"/>
            <w:color w:val="000000" w:themeColor="text1"/>
            <w:u w:val="none"/>
          </w:rPr>
          <w:t>www.ohchr.org/documents/Press/HC_human_rights_and_harm_reduction_drug_policy.pdf</w:t>
        </w:r>
      </w:hyperlink>
      <w:r w:rsidRPr="008145DD">
        <w:t xml:space="preserve"> </w:t>
      </w:r>
    </w:p>
    <w:p w14:paraId="7C0AABD5" w14:textId="20D4E141" w:rsidR="00876AA0" w:rsidRPr="008145DD" w:rsidRDefault="00876AA0" w:rsidP="008145DD">
      <w:pPr>
        <w:pStyle w:val="RTFootnotetext"/>
      </w:pPr>
      <w:r w:rsidRPr="008145DD">
        <w:t xml:space="preserve">Statement by Mr. </w:t>
      </w:r>
      <w:proofErr w:type="spellStart"/>
      <w:r w:rsidRPr="008145DD">
        <w:t>Zeid</w:t>
      </w:r>
      <w:proofErr w:type="spellEnd"/>
      <w:r w:rsidRPr="008145DD">
        <w:t xml:space="preserve"> </w:t>
      </w:r>
      <w:proofErr w:type="spellStart"/>
      <w:r w:rsidRPr="008145DD">
        <w:t>Ra’ad</w:t>
      </w:r>
      <w:proofErr w:type="spellEnd"/>
      <w:r w:rsidRPr="008145DD">
        <w:t xml:space="preserve"> Al Hussein, United Nations High Commissioner for Human Rights at the United Nations Work on the World Drug Problem, New York, 20 November</w:t>
      </w:r>
      <w:r>
        <w:t xml:space="preserve"> </w:t>
      </w:r>
      <w:r w:rsidRPr="008145DD">
        <w:t xml:space="preserve">2015, </w:t>
      </w:r>
      <w:hyperlink r:id="rId62" w:anchor="sthash.gDhwrjeB.pCkgrbqV.dpuf" w:history="1">
        <w:r w:rsidRPr="008145DD">
          <w:rPr>
            <w:rStyle w:val="Hyperlink"/>
            <w:color w:val="000000" w:themeColor="text1"/>
            <w:u w:val="none"/>
          </w:rPr>
          <w:t>www.ohchr.org/en/NewsEvents/Pages/DisplayNews.aspx?NewsID=16791&amp;LangID=E#sthash.gDhwrjeB.pCkgrbqV.dpuf</w:t>
        </w:r>
      </w:hyperlink>
      <w:r w:rsidRPr="008145DD">
        <w:t xml:space="preserve"> </w:t>
      </w:r>
    </w:p>
  </w:footnote>
  <w:footnote w:id="308">
    <w:p w14:paraId="406EF321" w14:textId="016A1B02" w:rsidR="00876AA0" w:rsidRPr="008145DD" w:rsidRDefault="00876AA0" w:rsidP="008145DD">
      <w:pPr>
        <w:pStyle w:val="RTFootnotetext"/>
      </w:pPr>
      <w:r w:rsidRPr="008145DD">
        <w:rPr>
          <w:rStyle w:val="FootnoteReference"/>
          <w:vertAlign w:val="baseline"/>
        </w:rPr>
        <w:footnoteRef/>
      </w:r>
      <w:r w:rsidRPr="008145DD">
        <w:t xml:space="preserve"> </w:t>
      </w:r>
      <w:proofErr w:type="gramStart"/>
      <w:r>
        <w:t>Office of the High Commissioner for Human Rights</w:t>
      </w:r>
      <w:r w:rsidRPr="008145DD">
        <w:t xml:space="preserve">, </w:t>
      </w:r>
      <w:r>
        <w:t>‘</w:t>
      </w:r>
      <w:r w:rsidRPr="008145DD">
        <w:t>Study on the impact of the world drug problem on the enjoyment of human rights</w:t>
      </w:r>
      <w:r>
        <w:t>’, 4 September 2015, UN Doc.</w:t>
      </w:r>
      <w:proofErr w:type="gramEnd"/>
      <w:r>
        <w:t xml:space="preserve"> </w:t>
      </w:r>
      <w:proofErr w:type="gramStart"/>
      <w:r w:rsidRPr="008145DD">
        <w:t>A/HRC/30/6</w:t>
      </w:r>
      <w:r>
        <w:t>5.</w:t>
      </w:r>
      <w:proofErr w:type="gramEnd"/>
    </w:p>
  </w:footnote>
  <w:footnote w:id="309">
    <w:p w14:paraId="7B72106D" w14:textId="716E0DB2" w:rsidR="00876AA0" w:rsidRPr="008145DD" w:rsidRDefault="00876AA0" w:rsidP="008145DD">
      <w:pPr>
        <w:pStyle w:val="RTFootnotetext"/>
      </w:pPr>
      <w:r w:rsidRPr="008145DD">
        <w:rPr>
          <w:rStyle w:val="FootnoteReference"/>
          <w:vertAlign w:val="baseline"/>
        </w:rPr>
        <w:footnoteRef/>
      </w:r>
      <w:r w:rsidRPr="008145DD">
        <w:t xml:space="preserve"> </w:t>
      </w:r>
      <w:proofErr w:type="gramStart"/>
      <w:r>
        <w:t>Office of the High Commissioner for Human Rights</w:t>
      </w:r>
      <w:r w:rsidRPr="008145DD">
        <w:t xml:space="preserve">, </w:t>
      </w:r>
      <w:r>
        <w:t>‘</w:t>
      </w:r>
      <w:r w:rsidRPr="008145DD">
        <w:t>Study on the impact of the world drug problem on the enjoyment of human rights</w:t>
      </w:r>
      <w:r>
        <w:t>’, 4 September 2015, UN Doc.</w:t>
      </w:r>
      <w:proofErr w:type="gramEnd"/>
      <w:r>
        <w:t xml:space="preserve"> </w:t>
      </w:r>
      <w:proofErr w:type="gramStart"/>
      <w:r w:rsidRPr="008145DD">
        <w:t>A/HRC/30/65</w:t>
      </w:r>
      <w:r>
        <w:t>,</w:t>
      </w:r>
      <w:r w:rsidRPr="008145DD">
        <w:t xml:space="preserve"> para</w:t>
      </w:r>
      <w:r>
        <w:t>.</w:t>
      </w:r>
      <w:proofErr w:type="gramEnd"/>
      <w:r w:rsidRPr="008145DD">
        <w:t xml:space="preserve"> 53</w:t>
      </w:r>
      <w:r>
        <w:t>.</w:t>
      </w:r>
    </w:p>
  </w:footnote>
  <w:footnote w:id="310">
    <w:p w14:paraId="34E49DB0" w14:textId="5A32B4A8" w:rsidR="00876AA0" w:rsidRDefault="00876AA0" w:rsidP="008145DD">
      <w:pPr>
        <w:pStyle w:val="RTFootnotetext"/>
      </w:pPr>
      <w:r w:rsidRPr="008145DD">
        <w:rPr>
          <w:rStyle w:val="FootnoteReference"/>
          <w:vertAlign w:val="baseline"/>
        </w:rPr>
        <w:footnoteRef/>
      </w:r>
      <w:r w:rsidRPr="008145DD">
        <w:t xml:space="preserve"> </w:t>
      </w:r>
      <w:proofErr w:type="spellStart"/>
      <w:r w:rsidRPr="008145DD">
        <w:t>Nevanathem</w:t>
      </w:r>
      <w:proofErr w:type="spellEnd"/>
      <w:r w:rsidRPr="008145DD">
        <w:t xml:space="preserve"> Pillay, United Nations High Commissioner for Human Rights, </w:t>
      </w:r>
      <w:r>
        <w:t>‘</w:t>
      </w:r>
      <w:r w:rsidRPr="008145DD">
        <w:t>High Commissioner calls for focus on human rights and harm reduction in international drug policy</w:t>
      </w:r>
      <w:r>
        <w:t xml:space="preserve">’, </w:t>
      </w:r>
      <w:r w:rsidRPr="008145DD">
        <w:t xml:space="preserve">10 March 2009, www.ohchr.org/documents/Press/HC_human_rights_and_harm_reduction_drug_policy.pdf </w:t>
      </w:r>
    </w:p>
    <w:p w14:paraId="61ED24D3" w14:textId="66498851" w:rsidR="00876AA0" w:rsidRPr="008145DD" w:rsidRDefault="00876AA0" w:rsidP="008145DD">
      <w:pPr>
        <w:pStyle w:val="RTFootnotetext"/>
      </w:pPr>
      <w:r w:rsidRPr="008145DD">
        <w:t xml:space="preserve">Statement by Mr. </w:t>
      </w:r>
      <w:proofErr w:type="spellStart"/>
      <w:r w:rsidRPr="008145DD">
        <w:t>Zeid</w:t>
      </w:r>
      <w:proofErr w:type="spellEnd"/>
      <w:r w:rsidRPr="008145DD">
        <w:t xml:space="preserve"> </w:t>
      </w:r>
      <w:proofErr w:type="spellStart"/>
      <w:r w:rsidRPr="008145DD">
        <w:t>Ra’ad</w:t>
      </w:r>
      <w:proofErr w:type="spellEnd"/>
      <w:r w:rsidRPr="008145DD">
        <w:t xml:space="preserve"> Al Hussein, United Nations High Commissioner for Human Rights at the United Nations Work on the World Drug Problem, New York, 20 November 2015, </w:t>
      </w:r>
      <w:hyperlink r:id="rId63" w:anchor="sthash.gDhwrjeB.pCkgrbqV.dpuf" w:history="1">
        <w:r w:rsidRPr="008145DD">
          <w:rPr>
            <w:rStyle w:val="Hyperlink"/>
            <w:color w:val="000000" w:themeColor="text1"/>
            <w:u w:val="none"/>
          </w:rPr>
          <w:t>www.ohchr.org/en/NewsEvents/Pages/DisplayNews.aspx?NewsID=16791&amp;LangID=E#sthash.gDhwrjeB.pCkgrbqV.dpuf</w:t>
        </w:r>
      </w:hyperlink>
      <w:r w:rsidRPr="008145DD">
        <w:t xml:space="preserve"> </w:t>
      </w:r>
    </w:p>
  </w:footnote>
  <w:footnote w:id="311">
    <w:p w14:paraId="61AA9CF9" w14:textId="2DFF6BDC" w:rsidR="00876AA0" w:rsidRPr="008145DD" w:rsidRDefault="00876AA0" w:rsidP="008145DD">
      <w:pPr>
        <w:pStyle w:val="RTFootnotetext"/>
      </w:pPr>
      <w:r w:rsidRPr="008145DD">
        <w:rPr>
          <w:rStyle w:val="FootnoteReference"/>
          <w:vertAlign w:val="baseline"/>
        </w:rPr>
        <w:footnoteRef/>
      </w:r>
      <w:r w:rsidRPr="008145DD">
        <w:t xml:space="preserve"> Statement by Mr. </w:t>
      </w:r>
      <w:proofErr w:type="spellStart"/>
      <w:r w:rsidRPr="008145DD">
        <w:t>Zeid</w:t>
      </w:r>
      <w:proofErr w:type="spellEnd"/>
      <w:r w:rsidRPr="008145DD">
        <w:t xml:space="preserve"> </w:t>
      </w:r>
      <w:proofErr w:type="spellStart"/>
      <w:r w:rsidRPr="008145DD">
        <w:t>Ra’ad</w:t>
      </w:r>
      <w:proofErr w:type="spellEnd"/>
      <w:r w:rsidRPr="008145DD">
        <w:t xml:space="preserve"> Al Hussein, United Nations High Commissioner for Human Rights at the United Nations Work on the World Drug Problem, New York, 20 November 2015, </w:t>
      </w:r>
      <w:hyperlink r:id="rId64" w:anchor="sthash.gDhwrjeB.pCkgrbqV.dpuf" w:history="1">
        <w:r w:rsidRPr="008145DD">
          <w:rPr>
            <w:rStyle w:val="Hyperlink"/>
            <w:color w:val="000000" w:themeColor="text1"/>
            <w:u w:val="none"/>
          </w:rPr>
          <w:t>www.ohchr.org/en/NewsEvents/Pages/DisplayNews.aspx?NewsID=16791&amp;LangID=E#sthash.gDhwrjeB.pCkgrbqV.dpuf</w:t>
        </w:r>
      </w:hyperlink>
      <w:r w:rsidRPr="008145DD">
        <w:t xml:space="preserve"> </w:t>
      </w:r>
    </w:p>
  </w:footnote>
  <w:footnote w:id="312">
    <w:p w14:paraId="6954F2FE" w14:textId="63D97988" w:rsidR="00876AA0" w:rsidRPr="008145DD" w:rsidRDefault="00876AA0" w:rsidP="008145DD">
      <w:pPr>
        <w:pStyle w:val="RTFootnotetext"/>
      </w:pPr>
      <w:r w:rsidRPr="008145DD">
        <w:rPr>
          <w:rStyle w:val="FootnoteReference"/>
          <w:vertAlign w:val="baseline"/>
        </w:rPr>
        <w:footnoteRef/>
      </w:r>
      <w:r w:rsidRPr="008145DD">
        <w:t xml:space="preserve"> </w:t>
      </w:r>
      <w:proofErr w:type="gramStart"/>
      <w:r w:rsidRPr="008145DD">
        <w:t>Report of the Special Rapporteur on the right of everyone to the enjoyment of the highest attainable standard of physical and mental health, 6 August 2010, U.N. Doc.</w:t>
      </w:r>
      <w:proofErr w:type="gramEnd"/>
      <w:r w:rsidRPr="008145DD">
        <w:t xml:space="preserve"> </w:t>
      </w:r>
      <w:proofErr w:type="gramStart"/>
      <w:r w:rsidRPr="008145DD">
        <w:t>A/65/255, para.</w:t>
      </w:r>
      <w:proofErr w:type="gramEnd"/>
      <w:r w:rsidRPr="008145DD">
        <w:t xml:space="preserve"> 27</w:t>
      </w:r>
      <w:r>
        <w:t>.</w:t>
      </w:r>
    </w:p>
  </w:footnote>
  <w:footnote w:id="313">
    <w:p w14:paraId="7AFAE1BF" w14:textId="1728A2E4" w:rsidR="00876AA0" w:rsidRPr="008145DD" w:rsidRDefault="00876AA0" w:rsidP="008145DD">
      <w:pPr>
        <w:pStyle w:val="RTFootnotetext"/>
      </w:pPr>
      <w:r w:rsidRPr="008145DD">
        <w:rPr>
          <w:rStyle w:val="FootnoteReference"/>
          <w:vertAlign w:val="baseline"/>
        </w:rPr>
        <w:footnoteRef/>
      </w:r>
      <w:r w:rsidRPr="008145DD">
        <w:t xml:space="preserve"> Committee on Economic, Social and Cultural Rights, General Comment 14</w:t>
      </w:r>
      <w:r>
        <w:t>,</w:t>
      </w:r>
      <w:r w:rsidRPr="008145DD">
        <w:t xml:space="preserve"> </w:t>
      </w:r>
      <w:r>
        <w:t xml:space="preserve">UN Doc. </w:t>
      </w:r>
      <w:r w:rsidRPr="008145DD">
        <w:t xml:space="preserve">E/C.12/2000/4, paras 18 and 19 in Report of the U.N. Special Rapporteur on the right of everyone to the enjoyment of the highest attainable standard of physical and mental health, 6 August 2010, UN Doc. </w:t>
      </w:r>
      <w:proofErr w:type="gramStart"/>
      <w:r w:rsidRPr="008145DD">
        <w:t>A/65/255 para.</w:t>
      </w:r>
      <w:proofErr w:type="gramEnd"/>
      <w:r w:rsidRPr="008145DD">
        <w:t xml:space="preserve"> 8</w:t>
      </w:r>
      <w:r>
        <w:t>.</w:t>
      </w:r>
    </w:p>
  </w:footnote>
  <w:footnote w:id="314">
    <w:p w14:paraId="05B356AC" w14:textId="77777777" w:rsidR="00876AA0" w:rsidRPr="008145DD" w:rsidRDefault="00876AA0" w:rsidP="008145DD">
      <w:pPr>
        <w:pStyle w:val="RTFootnotetext"/>
      </w:pPr>
      <w:r w:rsidRPr="008145DD">
        <w:rPr>
          <w:rStyle w:val="FootnoteReference"/>
          <w:vertAlign w:val="baseline"/>
        </w:rPr>
        <w:footnoteRef/>
      </w:r>
      <w:r w:rsidRPr="008145DD">
        <w:t xml:space="preserve"> </w:t>
      </w:r>
      <w:proofErr w:type="gramStart"/>
      <w:r w:rsidRPr="008145DD">
        <w:t>Report of the Special Rapporteur on the right of everyone to the enjoyment of the highest attainable standard of physical and mental health, 6 August 2010, U.N. Doc.</w:t>
      </w:r>
      <w:proofErr w:type="gramEnd"/>
      <w:r w:rsidRPr="008145DD">
        <w:t xml:space="preserve"> </w:t>
      </w:r>
      <w:proofErr w:type="gramStart"/>
      <w:r w:rsidRPr="008145DD">
        <w:t>A/65/255, para.</w:t>
      </w:r>
      <w:proofErr w:type="gramEnd"/>
      <w:r w:rsidRPr="008145DD">
        <w:t xml:space="preserve"> 8.</w:t>
      </w:r>
    </w:p>
  </w:footnote>
  <w:footnote w:id="315">
    <w:p w14:paraId="12B27761" w14:textId="47B8C990" w:rsidR="00876AA0" w:rsidRDefault="00876AA0" w:rsidP="008145DD">
      <w:pPr>
        <w:pStyle w:val="RTFootnotetext"/>
      </w:pPr>
      <w:r w:rsidRPr="008145DD">
        <w:rPr>
          <w:rStyle w:val="FootnoteReference"/>
          <w:vertAlign w:val="baseline"/>
        </w:rPr>
        <w:footnoteRef/>
      </w:r>
      <w:r w:rsidRPr="008145DD">
        <w:t xml:space="preserve"> </w:t>
      </w:r>
      <w:proofErr w:type="gramStart"/>
      <w:r w:rsidRPr="008145DD">
        <w:t xml:space="preserve">Office of the High Commissioner on Human Rights, </w:t>
      </w:r>
      <w:r>
        <w:t>‘</w:t>
      </w:r>
      <w:r w:rsidRPr="008145DD">
        <w:t xml:space="preserve">Study on the impact of the world drug problem on the enjoyment of human </w:t>
      </w:r>
      <w:r w:rsidRPr="00FD6C1B">
        <w:t>rights</w:t>
      </w:r>
      <w:r>
        <w:t>’</w:t>
      </w:r>
      <w:r w:rsidRPr="00FD6C1B">
        <w:t>, 4 September 2015, UN Doc.</w:t>
      </w:r>
      <w:proofErr w:type="gramEnd"/>
      <w:r w:rsidRPr="00FD6C1B">
        <w:t xml:space="preserve"> </w:t>
      </w:r>
      <w:proofErr w:type="gramStart"/>
      <w:r w:rsidRPr="00FD6C1B">
        <w:t>A/HRC/30/65 at para.</w:t>
      </w:r>
      <w:proofErr w:type="gramEnd"/>
      <w:r w:rsidRPr="00FD6C1B">
        <w:t xml:space="preserve"> 28,</w:t>
      </w:r>
      <w:r w:rsidRPr="00680DF0">
        <w:t xml:space="preserve"> 29, 30; UNAIDS</w:t>
      </w:r>
      <w:r w:rsidRPr="00A43BBB">
        <w:t xml:space="preserve">, </w:t>
      </w:r>
      <w:r>
        <w:t>‘</w:t>
      </w:r>
      <w:r w:rsidRPr="00A43BBB">
        <w:t>The Gap Report</w:t>
      </w:r>
      <w:r>
        <w:t>’</w:t>
      </w:r>
      <w:r w:rsidRPr="00A43BBB">
        <w:t xml:space="preserve">, 2014, </w:t>
      </w:r>
      <w:r>
        <w:t xml:space="preserve">Joint United Nations </w:t>
      </w:r>
      <w:proofErr w:type="spellStart"/>
      <w:r>
        <w:t>Programme</w:t>
      </w:r>
      <w:proofErr w:type="spellEnd"/>
      <w:r>
        <w:t xml:space="preserve"> on HIV/AIDS, Geneva, p. 183, </w:t>
      </w:r>
      <w:hyperlink r:id="rId65" w:history="1">
        <w:r w:rsidRPr="00F54248">
          <w:t>www.unaids.org/en/resources/campaigns/2014/2014gapreport/gapreport/</w:t>
        </w:r>
      </w:hyperlink>
    </w:p>
    <w:p w14:paraId="4C10C8BE" w14:textId="5263C0B0" w:rsidR="00876AA0" w:rsidRPr="008145DD" w:rsidRDefault="00876AA0" w:rsidP="008145DD">
      <w:pPr>
        <w:pStyle w:val="RTFootnotetext"/>
      </w:pPr>
      <w:r w:rsidRPr="008145DD">
        <w:t>World Health Organization</w:t>
      </w:r>
      <w:r>
        <w:t>,</w:t>
      </w:r>
      <w:r w:rsidRPr="008145DD">
        <w:t xml:space="preserve"> </w:t>
      </w:r>
      <w:r>
        <w:t>‘</w:t>
      </w:r>
      <w:r w:rsidRPr="008145DD">
        <w:t>Consolidated guidelines on HIV prevention, diagnosis, treatment and care for key populations</w:t>
      </w:r>
      <w:r>
        <w:t>’,</w:t>
      </w:r>
      <w:r w:rsidRPr="008145DD">
        <w:t xml:space="preserve"> Geneva, 2014, p. 91; UNDP, </w:t>
      </w:r>
      <w:r>
        <w:t>‘</w:t>
      </w:r>
      <w:r w:rsidRPr="008145DD">
        <w:t>Addressing the Development Dimensions of Drug Policy</w:t>
      </w:r>
      <w:r>
        <w:t>’,</w:t>
      </w:r>
      <w:r w:rsidRPr="008145DD">
        <w:t xml:space="preserve"> 2015, p. 34; UN Women, </w:t>
      </w:r>
      <w:r>
        <w:t>‘</w:t>
      </w:r>
      <w:r w:rsidRPr="008145DD">
        <w:t>A gender perspective on the impact of drug use, the drug trade and drug control regime</w:t>
      </w:r>
      <w:r>
        <w:t>’,</w:t>
      </w:r>
      <w:r w:rsidRPr="008145DD">
        <w:t xml:space="preserve"> July 2014</w:t>
      </w:r>
      <w:r>
        <w:t>,</w:t>
      </w:r>
      <w:r w:rsidRPr="00680DF0">
        <w:t xml:space="preserve"> www.unodc.org/documents/ungass2016/Contributions/UN/Gender_and_Drugs_-_UN_Women_Policy_Brief.pdf</w:t>
      </w:r>
    </w:p>
  </w:footnote>
  <w:footnote w:id="316">
    <w:p w14:paraId="3AF20D12" w14:textId="5E514BB7" w:rsidR="00876AA0" w:rsidRPr="008145DD" w:rsidRDefault="00876AA0" w:rsidP="008145DD">
      <w:pPr>
        <w:pStyle w:val="RTFootnotetext"/>
      </w:pPr>
      <w:r w:rsidRPr="008145DD">
        <w:rPr>
          <w:rStyle w:val="FootnoteReference"/>
          <w:vertAlign w:val="baseline"/>
        </w:rPr>
        <w:footnoteRef/>
      </w:r>
      <w:r w:rsidRPr="008145DD">
        <w:t xml:space="preserve"> World Health Organization, </w:t>
      </w:r>
      <w:r>
        <w:t>‘</w:t>
      </w:r>
      <w:r w:rsidRPr="008145DD">
        <w:t>Consolidated guidelines on HIV prevention, diagnosis, treatment and care for key populations</w:t>
      </w:r>
      <w:r>
        <w:t>’</w:t>
      </w:r>
      <w:r w:rsidRPr="008145DD">
        <w:t>, 2016, p.</w:t>
      </w:r>
      <w:r>
        <w:t xml:space="preserve"> </w:t>
      </w:r>
      <w:r w:rsidRPr="008145DD">
        <w:t>86</w:t>
      </w:r>
      <w:r>
        <w:t>.</w:t>
      </w:r>
    </w:p>
  </w:footnote>
  <w:footnote w:id="317">
    <w:p w14:paraId="1FF3E911" w14:textId="1E384EBC" w:rsidR="00876AA0" w:rsidRPr="008145DD" w:rsidRDefault="00876AA0" w:rsidP="008145DD">
      <w:pPr>
        <w:pStyle w:val="RTFootnotetext"/>
      </w:pPr>
      <w:r w:rsidRPr="008145DD">
        <w:rPr>
          <w:rStyle w:val="FootnoteReference"/>
          <w:vertAlign w:val="baseline"/>
        </w:rPr>
        <w:footnoteRef/>
      </w:r>
      <w:r w:rsidRPr="008145DD">
        <w:t xml:space="preserve"> </w:t>
      </w:r>
      <w:proofErr w:type="spellStart"/>
      <w:r w:rsidRPr="008145DD">
        <w:t>Nevanathem</w:t>
      </w:r>
      <w:proofErr w:type="spellEnd"/>
      <w:r w:rsidRPr="008145DD">
        <w:t xml:space="preserve"> Pillay, United Nations High Commissioner for Human Rights, </w:t>
      </w:r>
      <w:r>
        <w:t>‘</w:t>
      </w:r>
      <w:r w:rsidRPr="008145DD">
        <w:t>High Commissioner calls for focus on human rights and harm reduction in international drug policy</w:t>
      </w:r>
      <w:r>
        <w:t>’,</w:t>
      </w:r>
      <w:r w:rsidRPr="008145DD">
        <w:t xml:space="preserve"> 10 March 2009, </w:t>
      </w:r>
      <w:hyperlink r:id="rId66" w:history="1">
        <w:r w:rsidRPr="0045214F">
          <w:rPr>
            <w:rStyle w:val="Hyperlink"/>
            <w:u w:val="none"/>
          </w:rPr>
          <w:t>www.ohchr.org/documents/Press/HC_human_rights_and_harm_reduction_drug_policy.pdf</w:t>
        </w:r>
      </w:hyperlink>
      <w:r w:rsidRPr="00C543D1">
        <w:t xml:space="preserve"> </w:t>
      </w:r>
    </w:p>
  </w:footnote>
  <w:footnote w:id="318">
    <w:p w14:paraId="25099FA1" w14:textId="4D3D77BA" w:rsidR="00876AA0" w:rsidRPr="008145DD" w:rsidRDefault="00876AA0" w:rsidP="008145DD">
      <w:pPr>
        <w:pStyle w:val="RTFootnotetext"/>
      </w:pPr>
      <w:r w:rsidRPr="008145DD">
        <w:rPr>
          <w:rStyle w:val="FootnoteReference"/>
          <w:vertAlign w:val="baseline"/>
        </w:rPr>
        <w:footnoteRef/>
      </w:r>
      <w:r w:rsidRPr="008145DD">
        <w:t xml:space="preserve"> </w:t>
      </w:r>
      <w:proofErr w:type="gramStart"/>
      <w:r w:rsidRPr="00680DF0">
        <w:t xml:space="preserve">International Covenant on Civil and Political Rights </w:t>
      </w:r>
      <w:r>
        <w:t>(</w:t>
      </w:r>
      <w:r w:rsidRPr="008145DD">
        <w:t>ICCPR</w:t>
      </w:r>
      <w:r>
        <w:t>)</w:t>
      </w:r>
      <w:r w:rsidRPr="008145DD">
        <w:t>, Art.</w:t>
      </w:r>
      <w:proofErr w:type="gramEnd"/>
      <w:r w:rsidRPr="008145DD">
        <w:t xml:space="preserve"> 17(1) (</w:t>
      </w:r>
      <w:r>
        <w:t>‘</w:t>
      </w:r>
      <w:r w:rsidRPr="008145DD">
        <w:t>No one shall be subjected to arbitrary or unlawful interference with his privacy, family, home or correspondence, nor to unlawful attacks on his honor and reputation</w:t>
      </w:r>
      <w:r>
        <w:t>’</w:t>
      </w:r>
      <w:r w:rsidRPr="008145DD">
        <w:t xml:space="preserve">); </w:t>
      </w:r>
      <w:r>
        <w:t>Convention on the Rights of the Child</w:t>
      </w:r>
      <w:r w:rsidRPr="008145DD">
        <w:t xml:space="preserve">, Art. </w:t>
      </w:r>
      <w:proofErr w:type="gramStart"/>
      <w:r w:rsidRPr="008145DD">
        <w:t xml:space="preserve">16(1), </w:t>
      </w:r>
      <w:r>
        <w:t>Convention on the Rights of Persons with Disabilities (CRPD)</w:t>
      </w:r>
      <w:r w:rsidRPr="008145DD">
        <w:t>, Art.</w:t>
      </w:r>
      <w:proofErr w:type="gramEnd"/>
      <w:r w:rsidRPr="008145DD">
        <w:t xml:space="preserve"> 22.</w:t>
      </w:r>
    </w:p>
  </w:footnote>
  <w:footnote w:id="319">
    <w:p w14:paraId="7D3DAB6B" w14:textId="46A273EA" w:rsidR="00876AA0" w:rsidRPr="008145DD" w:rsidRDefault="00876AA0" w:rsidP="008145DD">
      <w:pPr>
        <w:pStyle w:val="RTFootnotetext"/>
      </w:pPr>
      <w:r w:rsidRPr="008145DD">
        <w:rPr>
          <w:rStyle w:val="FootnoteReference"/>
          <w:vertAlign w:val="baseline"/>
        </w:rPr>
        <w:footnoteRef/>
      </w:r>
      <w:r w:rsidRPr="008145DD">
        <w:t xml:space="preserve">  ICESCR, Art. </w:t>
      </w:r>
      <w:proofErr w:type="gramStart"/>
      <w:r w:rsidRPr="008145DD">
        <w:t xml:space="preserve">12, </w:t>
      </w:r>
      <w:r>
        <w:t xml:space="preserve">CESCR </w:t>
      </w:r>
      <w:r w:rsidRPr="008145DD">
        <w:t>General Comment 14, UN Doc. E/C.12/2000/4, para.</w:t>
      </w:r>
      <w:proofErr w:type="gramEnd"/>
      <w:r w:rsidRPr="008145DD">
        <w:t xml:space="preserve"> 12. </w:t>
      </w:r>
    </w:p>
  </w:footnote>
  <w:footnote w:id="320">
    <w:p w14:paraId="41E61019" w14:textId="77777777" w:rsidR="00876AA0" w:rsidRPr="008145DD" w:rsidRDefault="00876AA0" w:rsidP="008145DD">
      <w:pPr>
        <w:pStyle w:val="RTFootnotetext"/>
      </w:pPr>
      <w:r w:rsidRPr="008145DD">
        <w:rPr>
          <w:rStyle w:val="FootnoteReference"/>
          <w:vertAlign w:val="baseline"/>
        </w:rPr>
        <w:footnoteRef/>
      </w:r>
      <w:r w:rsidRPr="008145DD">
        <w:t xml:space="preserve"> World Medical Association, Declaration on the Rights of the Patient. </w:t>
      </w:r>
      <w:proofErr w:type="gramStart"/>
      <w:r w:rsidRPr="008145DD">
        <w:t>Principle 7.</w:t>
      </w:r>
      <w:proofErr w:type="gramEnd"/>
      <w:r w:rsidRPr="008145DD">
        <w:t xml:space="preserve"> </w:t>
      </w:r>
    </w:p>
  </w:footnote>
  <w:footnote w:id="321">
    <w:p w14:paraId="6C4B8DA6" w14:textId="7E2485CC" w:rsidR="00876AA0" w:rsidRPr="008145DD" w:rsidRDefault="00876AA0" w:rsidP="008145DD">
      <w:pPr>
        <w:pStyle w:val="RTFootnotetext"/>
      </w:pPr>
      <w:r w:rsidRPr="008145DD">
        <w:rPr>
          <w:rStyle w:val="FootnoteReference"/>
          <w:vertAlign w:val="baseline"/>
        </w:rPr>
        <w:footnoteRef/>
      </w:r>
      <w:r w:rsidRPr="008145DD">
        <w:t xml:space="preserve"> Human Rights Committee, </w:t>
      </w:r>
      <w:r w:rsidRPr="004D456B">
        <w:rPr>
          <w:i/>
        </w:rPr>
        <w:t>M.G. v Germany</w:t>
      </w:r>
      <w:r w:rsidRPr="008145DD">
        <w:t xml:space="preserve">, Communication No. 1482/2006, UN Doc. CCPR/C/93/D/1482/2006, 2 September 2008, para. </w:t>
      </w:r>
      <w:proofErr w:type="gramStart"/>
      <w:r w:rsidRPr="008145DD">
        <w:t xml:space="preserve">10.1; European Court of Human Rights, </w:t>
      </w:r>
      <w:r w:rsidRPr="001B52F6">
        <w:rPr>
          <w:i/>
        </w:rPr>
        <w:t xml:space="preserve">S. and </w:t>
      </w:r>
      <w:proofErr w:type="spellStart"/>
      <w:r w:rsidRPr="001B52F6">
        <w:rPr>
          <w:i/>
        </w:rPr>
        <w:t>Marper</w:t>
      </w:r>
      <w:proofErr w:type="spellEnd"/>
      <w:r w:rsidRPr="001B52F6">
        <w:rPr>
          <w:i/>
        </w:rPr>
        <w:t xml:space="preserve"> v the United Kingdom</w:t>
      </w:r>
      <w:r w:rsidRPr="008145DD">
        <w:t>, Applications nos. 30562/04 and 30566/04, para.</w:t>
      </w:r>
      <w:proofErr w:type="gramEnd"/>
      <w:r w:rsidRPr="008145DD">
        <w:t xml:space="preserve"> 101; European Court of Human Rights, </w:t>
      </w:r>
      <w:proofErr w:type="spellStart"/>
      <w:r w:rsidRPr="001B52F6">
        <w:rPr>
          <w:i/>
        </w:rPr>
        <w:t>Szuluk</w:t>
      </w:r>
      <w:proofErr w:type="spellEnd"/>
      <w:r w:rsidRPr="001B52F6">
        <w:rPr>
          <w:i/>
        </w:rPr>
        <w:t xml:space="preserve"> v the United Kingdom</w:t>
      </w:r>
      <w:r w:rsidRPr="008145DD">
        <w:t xml:space="preserve">, Application no. 36936/05, para. </w:t>
      </w:r>
      <w:proofErr w:type="gramStart"/>
      <w:r w:rsidRPr="008145DD">
        <w:t xml:space="preserve">45; European Court of Human Rights, </w:t>
      </w:r>
      <w:r w:rsidRPr="001B52F6">
        <w:rPr>
          <w:i/>
        </w:rPr>
        <w:t>Leander v</w:t>
      </w:r>
      <w:r>
        <w:rPr>
          <w:i/>
        </w:rPr>
        <w:t xml:space="preserve"> </w:t>
      </w:r>
      <w:r w:rsidRPr="001B52F6">
        <w:rPr>
          <w:i/>
        </w:rPr>
        <w:t>Sweden</w:t>
      </w:r>
      <w:r w:rsidRPr="008145DD">
        <w:t>, Application no. 9248/81, para.</w:t>
      </w:r>
      <w:proofErr w:type="gramEnd"/>
      <w:r w:rsidRPr="008145DD">
        <w:t xml:space="preserve"> 58</w:t>
      </w:r>
      <w:r>
        <w:t>.</w:t>
      </w:r>
      <w:r w:rsidRPr="008145DD">
        <w:t xml:space="preserve"> </w:t>
      </w:r>
    </w:p>
  </w:footnote>
  <w:footnote w:id="322">
    <w:p w14:paraId="24C92582" w14:textId="3BA70B93" w:rsidR="00876AA0" w:rsidRDefault="00876AA0" w:rsidP="008145DD">
      <w:pPr>
        <w:pStyle w:val="RTFootnotetext"/>
      </w:pPr>
      <w:r w:rsidRPr="008145DD">
        <w:rPr>
          <w:rStyle w:val="FootnoteReference"/>
          <w:vertAlign w:val="baseline"/>
        </w:rPr>
        <w:footnoteRef/>
      </w:r>
      <w:r w:rsidRPr="008145DD">
        <w:t xml:space="preserve"> See, for example, Human Rights Watch, In Harm’s Way, 2013, </w:t>
      </w:r>
      <w:hyperlink r:id="rId67" w:history="1">
        <w:r w:rsidRPr="008145DD">
          <w:rPr>
            <w:rStyle w:val="Hyperlink"/>
            <w:color w:val="000000" w:themeColor="text1"/>
            <w:u w:val="none"/>
          </w:rPr>
          <w:t>www.hrw.org/reports/2013/12/11/harms-way</w:t>
        </w:r>
      </w:hyperlink>
      <w:r w:rsidRPr="008145DD">
        <w:t xml:space="preserve"> </w:t>
      </w:r>
    </w:p>
    <w:p w14:paraId="298604FA" w14:textId="0BF3900C" w:rsidR="00876AA0" w:rsidRDefault="00876AA0" w:rsidP="008145DD">
      <w:pPr>
        <w:pStyle w:val="RTFootnotetext"/>
      </w:pPr>
      <w:r w:rsidRPr="008145DD">
        <w:t xml:space="preserve">K. </w:t>
      </w:r>
      <w:proofErr w:type="spellStart"/>
      <w:r w:rsidRPr="008145DD">
        <w:t>Malinowska-Sempruch</w:t>
      </w:r>
      <w:proofErr w:type="spellEnd"/>
      <w:r w:rsidRPr="008145DD">
        <w:t xml:space="preserve"> and O</w:t>
      </w:r>
      <w:r>
        <w:t>.</w:t>
      </w:r>
      <w:r w:rsidRPr="008145DD">
        <w:t xml:space="preserve"> </w:t>
      </w:r>
      <w:proofErr w:type="spellStart"/>
      <w:r w:rsidRPr="008145DD">
        <w:t>Rychkova</w:t>
      </w:r>
      <w:proofErr w:type="spellEnd"/>
      <w:r w:rsidRPr="008145DD">
        <w:t xml:space="preserve">, </w:t>
      </w:r>
      <w:r>
        <w:t>‘</w:t>
      </w:r>
      <w:r w:rsidRPr="008145DD">
        <w:t>The Impact of Drug Policy on Women</w:t>
      </w:r>
      <w:r>
        <w:t>’</w:t>
      </w:r>
      <w:r w:rsidRPr="008145DD">
        <w:t xml:space="preserve">, Open Society Foundations, May 2015, </w:t>
      </w:r>
      <w:hyperlink r:id="rId68" w:history="1">
        <w:r w:rsidRPr="008145DD">
          <w:rPr>
            <w:rStyle w:val="Hyperlink"/>
            <w:color w:val="000000" w:themeColor="text1"/>
            <w:u w:val="none"/>
          </w:rPr>
          <w:t>www.opensocietyfoundations.org/reports/impact-drug-policy-women</w:t>
        </w:r>
      </w:hyperlink>
      <w:r w:rsidRPr="008145DD">
        <w:t xml:space="preserve"> </w:t>
      </w:r>
    </w:p>
  </w:footnote>
  <w:footnote w:id="323">
    <w:p w14:paraId="1579C569" w14:textId="77777777" w:rsidR="00876AA0" w:rsidRPr="008145DD" w:rsidRDefault="00876AA0" w:rsidP="008145DD">
      <w:pPr>
        <w:pStyle w:val="RTFootnotetext"/>
      </w:pPr>
      <w:r w:rsidRPr="008145DD">
        <w:rPr>
          <w:rStyle w:val="FootnoteReference"/>
          <w:vertAlign w:val="baseline"/>
        </w:rPr>
        <w:footnoteRef/>
      </w:r>
      <w:r w:rsidRPr="008145DD">
        <w:t xml:space="preserve"> </w:t>
      </w:r>
      <w:proofErr w:type="gramStart"/>
      <w:r w:rsidRPr="008145DD">
        <w:t>UN Committee on Civil and Political Rights, General Comment 16.</w:t>
      </w:r>
      <w:proofErr w:type="gramEnd"/>
      <w:r w:rsidRPr="008145DD">
        <w:t xml:space="preserve"> </w:t>
      </w:r>
      <w:proofErr w:type="gramStart"/>
      <w:r w:rsidRPr="008145DD">
        <w:t xml:space="preserve">The right to respect of privacy, family, home and correspondence, and protection of </w:t>
      </w:r>
      <w:proofErr w:type="spellStart"/>
      <w:r w:rsidRPr="008145DD">
        <w:t>honour</w:t>
      </w:r>
      <w:proofErr w:type="spellEnd"/>
      <w:r w:rsidRPr="008145DD">
        <w:t xml:space="preserve"> and reputation (art. 17); CESCR General Comment 14 para 12(b).</w:t>
      </w:r>
      <w:proofErr w:type="gramEnd"/>
      <w:r w:rsidRPr="008145DD">
        <w:t xml:space="preserve"> </w:t>
      </w:r>
    </w:p>
  </w:footnote>
  <w:footnote w:id="324">
    <w:p w14:paraId="6E77DD78" w14:textId="1EB192B4" w:rsidR="00876AA0" w:rsidRPr="008145DD" w:rsidRDefault="00876AA0" w:rsidP="008145DD">
      <w:pPr>
        <w:pStyle w:val="RTFootnotetext"/>
      </w:pPr>
      <w:r w:rsidRPr="008145DD">
        <w:rPr>
          <w:rStyle w:val="FootnoteReference"/>
          <w:vertAlign w:val="baseline"/>
        </w:rPr>
        <w:footnoteRef/>
      </w:r>
      <w:r w:rsidRPr="008145DD">
        <w:t xml:space="preserve"> </w:t>
      </w:r>
      <w:proofErr w:type="gramStart"/>
      <w:r w:rsidRPr="008145DD">
        <w:t>Report of the Special Rapporteur on Right of everyone to the enjoyment of the highest attainable standard of physical and mental health, 10 August 2009, A/64/272 para.</w:t>
      </w:r>
      <w:proofErr w:type="gramEnd"/>
      <w:r w:rsidRPr="008145DD">
        <w:t xml:space="preserve"> 32; </w:t>
      </w:r>
      <w:r>
        <w:t>s</w:t>
      </w:r>
      <w:r w:rsidRPr="008145DD">
        <w:t xml:space="preserve">ee L. O. </w:t>
      </w:r>
      <w:proofErr w:type="spellStart"/>
      <w:r w:rsidRPr="008145DD">
        <w:t>Gostin</w:t>
      </w:r>
      <w:proofErr w:type="spellEnd"/>
      <w:r w:rsidRPr="008145DD">
        <w:t xml:space="preserve">, </w:t>
      </w:r>
      <w:r>
        <w:t>‘</w:t>
      </w:r>
      <w:r w:rsidRPr="008145DD">
        <w:t>Public Health Strategies for Pandemic Influenza: Ethics and the Law</w:t>
      </w:r>
      <w:r>
        <w:t>’</w:t>
      </w:r>
      <w:r w:rsidRPr="008145DD">
        <w:t>,</w:t>
      </w:r>
      <w:r>
        <w:t xml:space="preserve"> </w:t>
      </w:r>
      <w:r w:rsidRPr="008145DD">
        <w:t>Journal of the American Medical Association, vol. 295, issue 14 (2006), pp. 1700-1704</w:t>
      </w:r>
      <w:r>
        <w:t>.</w:t>
      </w:r>
    </w:p>
  </w:footnote>
  <w:footnote w:id="325">
    <w:p w14:paraId="07783D02" w14:textId="00CD40DA" w:rsidR="00876AA0" w:rsidRPr="008145DD" w:rsidRDefault="00876AA0" w:rsidP="008145DD">
      <w:pPr>
        <w:pStyle w:val="RTFootnotetext"/>
      </w:pPr>
      <w:r w:rsidRPr="008145DD">
        <w:rPr>
          <w:rStyle w:val="FootnoteReference"/>
          <w:vertAlign w:val="baseline"/>
        </w:rPr>
        <w:footnoteRef/>
      </w:r>
      <w:r w:rsidRPr="008145DD">
        <w:t xml:space="preserve"> See generally, Physicians for Human Rights, </w:t>
      </w:r>
      <w:r>
        <w:t>‘</w:t>
      </w:r>
      <w:r w:rsidRPr="008145DD">
        <w:t>Dual Loyalty and Human Rights In Health Professional Practice; Proposed Guidelines &amp; Institutional Mechanisms</w:t>
      </w:r>
      <w:r>
        <w:t>’</w:t>
      </w:r>
      <w:r w:rsidRPr="008145DD">
        <w:t xml:space="preserve">, 2002, https://s3.amazonaws.com/PHR_Reports/dualloyalties-2002-report.pdf </w:t>
      </w:r>
    </w:p>
  </w:footnote>
  <w:footnote w:id="326">
    <w:p w14:paraId="2AC9254F" w14:textId="31991981" w:rsidR="00876AA0" w:rsidRPr="008145DD" w:rsidRDefault="00876AA0" w:rsidP="008145DD">
      <w:pPr>
        <w:pStyle w:val="RTFootnotetext"/>
      </w:pPr>
      <w:r w:rsidRPr="008145DD">
        <w:rPr>
          <w:rStyle w:val="FootnoteReference"/>
          <w:vertAlign w:val="baseline"/>
        </w:rPr>
        <w:footnoteRef/>
      </w:r>
      <w:r w:rsidRPr="008145DD">
        <w:t xml:space="preserve"> International Dual Loyalty Working Group, </w:t>
      </w:r>
      <w:r>
        <w:t>‘</w:t>
      </w:r>
      <w:r w:rsidRPr="008145DD">
        <w:t>Dual Loyalty &amp; Human Rights in Health Professional Practice: Proposed Guidelines &amp; Institutional Mechanisms</w:t>
      </w:r>
      <w:r>
        <w:t>’</w:t>
      </w:r>
      <w:r w:rsidRPr="008145DD">
        <w:t xml:space="preserve">, p. 11, 1993; see also, Open Society Foundations, Advancing Human Rights in Patient Care: The Law in Seven Transitional Countries, 2013, </w:t>
      </w:r>
      <w:hyperlink r:id="rId69" w:history="1">
        <w:r w:rsidRPr="008145DD">
          <w:rPr>
            <w:rStyle w:val="Hyperlink"/>
            <w:color w:val="000000" w:themeColor="text1"/>
            <w:u w:val="none"/>
          </w:rPr>
          <w:t>www.opensocietyfoundations.org/sites/default/files/Advancing-Human-Rights-in-Patient-Care-20130516.pdf</w:t>
        </w:r>
      </w:hyperlink>
      <w:r w:rsidRPr="008145DD">
        <w:t xml:space="preserve"> </w:t>
      </w:r>
    </w:p>
  </w:footnote>
  <w:footnote w:id="327">
    <w:p w14:paraId="01A9084B" w14:textId="5D6455E8" w:rsidR="00876AA0" w:rsidRPr="008145DD" w:rsidRDefault="00876AA0" w:rsidP="008145DD">
      <w:pPr>
        <w:pStyle w:val="RTFootnotetext"/>
      </w:pPr>
      <w:r w:rsidRPr="008145DD">
        <w:rPr>
          <w:rStyle w:val="FootnoteReference"/>
          <w:vertAlign w:val="baseline"/>
        </w:rPr>
        <w:footnoteRef/>
      </w:r>
      <w:r w:rsidRPr="008145DD">
        <w:t xml:space="preserve"> International Dual Loyalty Working Group, </w:t>
      </w:r>
      <w:r>
        <w:t>‘</w:t>
      </w:r>
      <w:r w:rsidRPr="008145DD">
        <w:t>Dual Loyalty &amp; Human Rights in Health Professional Practice: Proposed Guidelines &amp; Institutional Mechanisms</w:t>
      </w:r>
      <w:r>
        <w:t>’</w:t>
      </w:r>
      <w:r w:rsidRPr="008145DD">
        <w:t>, 2002, p. 11.</w:t>
      </w:r>
    </w:p>
  </w:footnote>
  <w:footnote w:id="328">
    <w:p w14:paraId="4CAFC863" w14:textId="6D407AEC" w:rsidR="00876AA0" w:rsidRPr="008145DD" w:rsidRDefault="00876AA0" w:rsidP="008145DD">
      <w:pPr>
        <w:pStyle w:val="RTFootnotetext"/>
      </w:pPr>
      <w:r w:rsidRPr="008145DD">
        <w:rPr>
          <w:rStyle w:val="FootnoteReference"/>
          <w:vertAlign w:val="baseline"/>
        </w:rPr>
        <w:footnoteRef/>
      </w:r>
      <w:r w:rsidRPr="008145DD">
        <w:t xml:space="preserve"> W</w:t>
      </w:r>
      <w:r>
        <w:t xml:space="preserve">orld </w:t>
      </w:r>
      <w:r w:rsidRPr="008145DD">
        <w:t>M</w:t>
      </w:r>
      <w:r>
        <w:t xml:space="preserve">edical </w:t>
      </w:r>
      <w:r w:rsidRPr="008145DD">
        <w:t>A</w:t>
      </w:r>
      <w:r>
        <w:t>ssociation</w:t>
      </w:r>
      <w:r w:rsidRPr="008145DD">
        <w:t xml:space="preserve">, International Code of Medical Ethics, </w:t>
      </w:r>
      <w:hyperlink r:id="rId70" w:history="1">
        <w:r w:rsidRPr="008145DD">
          <w:rPr>
            <w:rStyle w:val="Hyperlink"/>
            <w:color w:val="000000" w:themeColor="text1"/>
            <w:u w:val="none"/>
          </w:rPr>
          <w:t>www.wma.net/en/30publications/10policies/c8/</w:t>
        </w:r>
      </w:hyperlink>
      <w:r w:rsidRPr="008145DD">
        <w:t xml:space="preserve"> </w:t>
      </w:r>
    </w:p>
  </w:footnote>
  <w:footnote w:id="329">
    <w:p w14:paraId="0EA75F14" w14:textId="0F0C157D" w:rsidR="00876AA0" w:rsidRPr="008145DD" w:rsidRDefault="00876AA0" w:rsidP="008145DD">
      <w:pPr>
        <w:pStyle w:val="RTFootnotetext"/>
      </w:pPr>
      <w:r w:rsidRPr="008145DD">
        <w:rPr>
          <w:rStyle w:val="FootnoteReference"/>
          <w:vertAlign w:val="baseline"/>
        </w:rPr>
        <w:footnoteRef/>
      </w:r>
      <w:r w:rsidRPr="008145DD">
        <w:t xml:space="preserve"> International Dual Loyalty Working Group, </w:t>
      </w:r>
      <w:r>
        <w:t>‘</w:t>
      </w:r>
      <w:r w:rsidRPr="008145DD">
        <w:t>Dual Loyalty &amp; Human Rights in Health Professional Practice: Proposed Guidelines &amp; Institutional Mechanisms</w:t>
      </w:r>
      <w:r>
        <w:t>’</w:t>
      </w:r>
      <w:r w:rsidRPr="008145DD">
        <w:t>, 2002, p. 12.</w:t>
      </w:r>
    </w:p>
  </w:footnote>
  <w:footnote w:id="330">
    <w:p w14:paraId="45F72A6D" w14:textId="5A2DE3C3" w:rsidR="00876AA0" w:rsidRPr="008145DD" w:rsidRDefault="00876AA0" w:rsidP="008145DD">
      <w:pPr>
        <w:pStyle w:val="RTFootnotetext"/>
      </w:pPr>
      <w:r w:rsidRPr="008145DD">
        <w:rPr>
          <w:rStyle w:val="FootnoteReference"/>
          <w:vertAlign w:val="baseline"/>
        </w:rPr>
        <w:footnoteRef/>
      </w:r>
      <w:r w:rsidRPr="008145DD">
        <w:t xml:space="preserve"> United States Supreme Court</w:t>
      </w:r>
      <w:r w:rsidR="001D35EE">
        <w:t>,</w:t>
      </w:r>
      <w:r w:rsidRPr="008145DD">
        <w:t xml:space="preserve"> </w:t>
      </w:r>
      <w:r w:rsidRPr="004D456B">
        <w:rPr>
          <w:i/>
        </w:rPr>
        <w:t>Crystal M. Ferguson et al. v The City of Charleston</w:t>
      </w:r>
      <w:r w:rsidRPr="008145DD">
        <w:t xml:space="preserve">, </w:t>
      </w:r>
      <w:r w:rsidRPr="004D456B">
        <w:rPr>
          <w:i/>
        </w:rPr>
        <w:t>South Carolina et al</w:t>
      </w:r>
      <w:r w:rsidRPr="001D35EE">
        <w:t xml:space="preserve">., </w:t>
      </w:r>
      <w:r w:rsidRPr="008145DD">
        <w:t xml:space="preserve">(2001) No. 99-936.  </w:t>
      </w:r>
    </w:p>
  </w:footnote>
  <w:footnote w:id="331">
    <w:p w14:paraId="36237F39" w14:textId="09DF4721" w:rsidR="00876AA0" w:rsidRPr="008145DD" w:rsidRDefault="00876AA0" w:rsidP="008145DD">
      <w:pPr>
        <w:pStyle w:val="RTFootnotetext"/>
      </w:pPr>
      <w:r w:rsidRPr="008145DD">
        <w:rPr>
          <w:rStyle w:val="FootnoteReference"/>
          <w:vertAlign w:val="baseline"/>
        </w:rPr>
        <w:footnoteRef/>
      </w:r>
      <w:r w:rsidRPr="008145DD">
        <w:t xml:space="preserve"> International Dual Loyalty Working Group, </w:t>
      </w:r>
      <w:r>
        <w:t>‘</w:t>
      </w:r>
      <w:r w:rsidRPr="008145DD">
        <w:t>Dual Loyalty &amp; Human Rights in Health Professional Practice: Proposed Guidelines &amp; Institutional Mechanisms</w:t>
      </w:r>
      <w:r>
        <w:t>’</w:t>
      </w:r>
      <w:r w:rsidRPr="008145DD">
        <w:t>, 2002, p. 20</w:t>
      </w:r>
      <w:r>
        <w:t>.</w:t>
      </w:r>
    </w:p>
  </w:footnote>
  <w:footnote w:id="332">
    <w:p w14:paraId="29EA8AB0" w14:textId="77777777" w:rsidR="00876AA0" w:rsidRPr="004D456B" w:rsidRDefault="00876AA0" w:rsidP="008145DD">
      <w:pPr>
        <w:pStyle w:val="RTFootnotetext"/>
        <w:rPr>
          <w:lang w:val="es-US"/>
        </w:rPr>
      </w:pPr>
      <w:r w:rsidRPr="008145DD">
        <w:rPr>
          <w:rStyle w:val="FootnoteReference"/>
          <w:vertAlign w:val="baseline"/>
        </w:rPr>
        <w:footnoteRef/>
      </w:r>
      <w:r w:rsidRPr="004D456B">
        <w:rPr>
          <w:lang w:val="es-US"/>
        </w:rPr>
        <w:t xml:space="preserve"> CESCR, General </w:t>
      </w:r>
      <w:proofErr w:type="spellStart"/>
      <w:r w:rsidRPr="004D456B">
        <w:rPr>
          <w:lang w:val="es-US"/>
        </w:rPr>
        <w:t>Comment</w:t>
      </w:r>
      <w:proofErr w:type="spellEnd"/>
      <w:r w:rsidRPr="004D456B">
        <w:rPr>
          <w:lang w:val="es-US"/>
        </w:rPr>
        <w:t xml:space="preserve"> 14, para 12 (c).</w:t>
      </w:r>
    </w:p>
  </w:footnote>
  <w:footnote w:id="333">
    <w:p w14:paraId="25D7520A" w14:textId="1531D928" w:rsidR="00876AA0" w:rsidRDefault="00876AA0" w:rsidP="008145DD">
      <w:pPr>
        <w:pStyle w:val="RTFootnotetext"/>
      </w:pPr>
      <w:r w:rsidRPr="008145DD">
        <w:rPr>
          <w:rStyle w:val="FootnoteReference"/>
          <w:vertAlign w:val="baseline"/>
        </w:rPr>
        <w:footnoteRef/>
      </w:r>
      <w:r w:rsidRPr="008145DD">
        <w:t xml:space="preserve"> </w:t>
      </w:r>
      <w:proofErr w:type="spellStart"/>
      <w:r w:rsidRPr="008145DD">
        <w:t>Guttmacher</w:t>
      </w:r>
      <w:proofErr w:type="spellEnd"/>
      <w:r w:rsidRPr="008145DD">
        <w:t xml:space="preserve"> </w:t>
      </w:r>
      <w:r>
        <w:t xml:space="preserve">Institute, </w:t>
      </w:r>
      <w:r w:rsidRPr="008145DD">
        <w:t xml:space="preserve">Substance Abuse </w:t>
      </w:r>
      <w:proofErr w:type="gramStart"/>
      <w:r w:rsidRPr="008145DD">
        <w:t>During</w:t>
      </w:r>
      <w:proofErr w:type="gramEnd"/>
      <w:r w:rsidRPr="008145DD">
        <w:t xml:space="preserve"> Pregnancy</w:t>
      </w:r>
      <w:r>
        <w:t>.</w:t>
      </w:r>
    </w:p>
  </w:footnote>
  <w:footnote w:id="334">
    <w:p w14:paraId="50731AC8" w14:textId="77777777" w:rsidR="00876AA0" w:rsidRPr="008145DD" w:rsidRDefault="00876AA0" w:rsidP="008145DD">
      <w:pPr>
        <w:pStyle w:val="RTFootnotetext"/>
      </w:pPr>
      <w:r w:rsidRPr="008145DD">
        <w:rPr>
          <w:rStyle w:val="FootnoteReference"/>
          <w:vertAlign w:val="baseline"/>
        </w:rPr>
        <w:footnoteRef/>
      </w:r>
      <w:r w:rsidRPr="008145DD">
        <w:t xml:space="preserve"> </w:t>
      </w:r>
      <w:proofErr w:type="gramStart"/>
      <w:r w:rsidRPr="008145DD">
        <w:t>CEDAW Committee, General Recommendation 24, para 12 (d).</w:t>
      </w:r>
      <w:proofErr w:type="gramEnd"/>
    </w:p>
  </w:footnote>
  <w:footnote w:id="335">
    <w:p w14:paraId="6AD739A1" w14:textId="716EA411" w:rsidR="00876AA0" w:rsidRPr="008145DD" w:rsidRDefault="00876AA0" w:rsidP="008145DD">
      <w:pPr>
        <w:pStyle w:val="RTFootnotetext"/>
      </w:pPr>
      <w:r w:rsidRPr="008145DD">
        <w:rPr>
          <w:rStyle w:val="FootnoteReference"/>
          <w:vertAlign w:val="baseline"/>
        </w:rPr>
        <w:footnoteRef/>
      </w:r>
      <w:r w:rsidRPr="008145DD">
        <w:t xml:space="preserve"> </w:t>
      </w:r>
      <w:proofErr w:type="gramStart"/>
      <w:r w:rsidRPr="008145DD">
        <w:t>Report of the Working Group on the issue of discrimination against women in law and practice.</w:t>
      </w:r>
      <w:proofErr w:type="gramEnd"/>
      <w:r w:rsidRPr="008145DD">
        <w:t xml:space="preserve"> 8 April 2016. UN Doc. </w:t>
      </w:r>
      <w:proofErr w:type="gramStart"/>
      <w:r w:rsidRPr="008145DD">
        <w:t>A/HRC/32/44</w:t>
      </w:r>
      <w:r>
        <w:t>,</w:t>
      </w:r>
      <w:r w:rsidRPr="008145DD">
        <w:t xml:space="preserve"> para.</w:t>
      </w:r>
      <w:proofErr w:type="gramEnd"/>
      <w:r w:rsidRPr="008145DD">
        <w:t xml:space="preserve"> 86</w:t>
      </w:r>
      <w:r>
        <w:t>.</w:t>
      </w:r>
    </w:p>
  </w:footnote>
  <w:footnote w:id="336">
    <w:p w14:paraId="5DCAC08F" w14:textId="77777777" w:rsidR="00876AA0" w:rsidRPr="008145DD" w:rsidRDefault="00876AA0" w:rsidP="008145DD">
      <w:pPr>
        <w:pStyle w:val="RTFootnotetext"/>
      </w:pPr>
      <w:r w:rsidRPr="008145DD">
        <w:rPr>
          <w:rStyle w:val="FootnoteReference"/>
          <w:vertAlign w:val="baseline"/>
        </w:rPr>
        <w:footnoteRef/>
      </w:r>
      <w:r w:rsidRPr="008145DD">
        <w:t xml:space="preserve"> </w:t>
      </w:r>
      <w:proofErr w:type="gramStart"/>
      <w:r w:rsidRPr="008145DD">
        <w:t>Report of the Special Rapporteur on the right of everyone to the enjoyment of the highest attainable standard of physical and mental health, 16 February 2004, U.N. Doc. E/CN.4/2004/49 at para 40.</w:t>
      </w:r>
      <w:proofErr w:type="gramEnd"/>
    </w:p>
  </w:footnote>
  <w:footnote w:id="337">
    <w:p w14:paraId="464A1D84" w14:textId="4BA8910E" w:rsidR="00876AA0" w:rsidRPr="008145DD" w:rsidRDefault="00876AA0" w:rsidP="008145DD">
      <w:pPr>
        <w:pStyle w:val="RTFootnotetext"/>
      </w:pPr>
      <w:r w:rsidRPr="008145DD">
        <w:rPr>
          <w:rStyle w:val="FootnoteReference"/>
          <w:vertAlign w:val="baseline"/>
        </w:rPr>
        <w:footnoteRef/>
      </w:r>
      <w:r w:rsidRPr="008145DD">
        <w:t xml:space="preserve"> </w:t>
      </w:r>
      <w:proofErr w:type="gramStart"/>
      <w:r w:rsidRPr="008145DD">
        <w:t xml:space="preserve">Inter-American Commission on Human Rights, </w:t>
      </w:r>
      <w:r>
        <w:t>‘</w:t>
      </w:r>
      <w:r w:rsidRPr="008145DD">
        <w:t>Access to information on reproductive health from a human rights perspective</w:t>
      </w:r>
      <w:r>
        <w:t>’,</w:t>
      </w:r>
      <w:r w:rsidRPr="008145DD">
        <w:t xml:space="preserve"> 2011, at para</w:t>
      </w:r>
      <w:r>
        <w:t>.</w:t>
      </w:r>
      <w:proofErr w:type="gramEnd"/>
      <w:r w:rsidRPr="008145DD">
        <w:t xml:space="preserve"> 81.</w:t>
      </w:r>
    </w:p>
  </w:footnote>
  <w:footnote w:id="338">
    <w:p w14:paraId="245B3C8D" w14:textId="342CF386" w:rsidR="00876AA0" w:rsidRPr="008145DD" w:rsidRDefault="00876AA0" w:rsidP="008145DD">
      <w:pPr>
        <w:pStyle w:val="RTFootnotetext"/>
      </w:pPr>
      <w:r w:rsidRPr="008145DD">
        <w:rPr>
          <w:rStyle w:val="FootnoteReference"/>
          <w:vertAlign w:val="baseline"/>
        </w:rPr>
        <w:footnoteRef/>
      </w:r>
      <w:r w:rsidRPr="008145DD">
        <w:t xml:space="preserve"> </w:t>
      </w:r>
      <w:proofErr w:type="gramStart"/>
      <w:r w:rsidRPr="008145DD">
        <w:t xml:space="preserve">Inter-American Commission on Human Rights, </w:t>
      </w:r>
      <w:r>
        <w:t>‘</w:t>
      </w:r>
      <w:r w:rsidRPr="008145DD">
        <w:t>Access to information on reproductive health from a human rights perspective</w:t>
      </w:r>
      <w:r>
        <w:t>’,</w:t>
      </w:r>
      <w:r w:rsidRPr="008145DD">
        <w:t xml:space="preserve"> 2011, at para</w:t>
      </w:r>
      <w:r>
        <w:t>.</w:t>
      </w:r>
      <w:proofErr w:type="gramEnd"/>
      <w:r w:rsidRPr="008145DD">
        <w:t xml:space="preserve"> 81.</w:t>
      </w:r>
    </w:p>
  </w:footnote>
  <w:footnote w:id="339">
    <w:p w14:paraId="5B2EC0C4" w14:textId="2D878509" w:rsidR="00876AA0" w:rsidRPr="008145DD" w:rsidRDefault="00876AA0" w:rsidP="008145DD">
      <w:pPr>
        <w:pStyle w:val="RTFootnotetext"/>
      </w:pPr>
      <w:r w:rsidRPr="008145DD">
        <w:rPr>
          <w:rStyle w:val="FootnoteReference"/>
          <w:vertAlign w:val="baseline"/>
        </w:rPr>
        <w:footnoteRef/>
      </w:r>
      <w:r w:rsidRPr="008145DD">
        <w:t xml:space="preserve"> </w:t>
      </w:r>
      <w:proofErr w:type="gramStart"/>
      <w:r w:rsidRPr="008145DD">
        <w:t xml:space="preserve">Inter-American Commission on Human Rights, </w:t>
      </w:r>
      <w:r>
        <w:t>‘</w:t>
      </w:r>
      <w:r w:rsidRPr="008145DD">
        <w:t>Access to information on reproductive health from a human rights perspective</w:t>
      </w:r>
      <w:r>
        <w:t xml:space="preserve">’, </w:t>
      </w:r>
      <w:r w:rsidRPr="008145DD">
        <w:t>2011, at para</w:t>
      </w:r>
      <w:r>
        <w:t>.</w:t>
      </w:r>
      <w:proofErr w:type="gramEnd"/>
      <w:r w:rsidRPr="008145DD">
        <w:t xml:space="preserve"> 78, citing Inter-American Court of Human Rights, </w:t>
      </w:r>
      <w:r w:rsidRPr="0045214F">
        <w:rPr>
          <w:i/>
        </w:rPr>
        <w:t>De La Cruz-Flores v Peru Case</w:t>
      </w:r>
      <w:r w:rsidR="001D35EE">
        <w:t xml:space="preserve">, </w:t>
      </w:r>
      <w:r w:rsidRPr="008145DD">
        <w:t xml:space="preserve">Judgment of </w:t>
      </w:r>
      <w:r>
        <w:t xml:space="preserve">18 </w:t>
      </w:r>
      <w:r w:rsidRPr="008145DD">
        <w:t>November</w:t>
      </w:r>
      <w:r>
        <w:t xml:space="preserve"> </w:t>
      </w:r>
      <w:r w:rsidRPr="008145DD">
        <w:t>2004.</w:t>
      </w:r>
    </w:p>
  </w:footnote>
  <w:footnote w:id="340">
    <w:p w14:paraId="05625132" w14:textId="37B562E0" w:rsidR="00876AA0" w:rsidRPr="008145DD" w:rsidRDefault="00876AA0" w:rsidP="008145DD">
      <w:pPr>
        <w:pStyle w:val="RTFootnotetext"/>
      </w:pPr>
      <w:r w:rsidRPr="008145DD">
        <w:rPr>
          <w:rStyle w:val="FootnoteReference"/>
          <w:vertAlign w:val="baseline"/>
        </w:rPr>
        <w:footnoteRef/>
      </w:r>
      <w:r w:rsidRPr="008145DD">
        <w:t xml:space="preserve"> HRC General Comment 32, </w:t>
      </w:r>
      <w:r>
        <w:t xml:space="preserve">para. </w:t>
      </w:r>
      <w:proofErr w:type="gramStart"/>
      <w:r w:rsidRPr="008145DD">
        <w:t>19, General Comment 29,</w:t>
      </w:r>
      <w:r>
        <w:t xml:space="preserve"> para.</w:t>
      </w:r>
      <w:r w:rsidRPr="008145DD">
        <w:t xml:space="preserve">16; UN General Assembly resolution 67/166, preamble </w:t>
      </w:r>
      <w:r>
        <w:t>para.</w:t>
      </w:r>
      <w:proofErr w:type="gramEnd"/>
      <w:r>
        <w:t xml:space="preserve"> </w:t>
      </w:r>
      <w:proofErr w:type="gramStart"/>
      <w:r w:rsidRPr="008145DD">
        <w:t xml:space="preserve">11 and 65/213, preamble </w:t>
      </w:r>
      <w:r>
        <w:t>para.</w:t>
      </w:r>
      <w:proofErr w:type="gramEnd"/>
      <w:r>
        <w:t xml:space="preserve"> </w:t>
      </w:r>
      <w:r w:rsidRPr="008145DD">
        <w:t xml:space="preserve">9; </w:t>
      </w:r>
      <w:r w:rsidRPr="004D456B">
        <w:rPr>
          <w:i/>
        </w:rPr>
        <w:t xml:space="preserve">Civil Liberties </w:t>
      </w:r>
      <w:proofErr w:type="spellStart"/>
      <w:r w:rsidRPr="004D456B">
        <w:rPr>
          <w:i/>
        </w:rPr>
        <w:t>Organisation</w:t>
      </w:r>
      <w:proofErr w:type="spellEnd"/>
      <w:r w:rsidRPr="004D456B">
        <w:rPr>
          <w:i/>
        </w:rPr>
        <w:t xml:space="preserve">, Legal </w:t>
      </w:r>
      <w:proofErr w:type="spellStart"/>
      <w:r w:rsidRPr="004D456B">
        <w:rPr>
          <w:i/>
        </w:rPr>
        <w:t>Defence</w:t>
      </w:r>
      <w:proofErr w:type="spellEnd"/>
      <w:r w:rsidRPr="004D456B">
        <w:rPr>
          <w:i/>
        </w:rPr>
        <w:t xml:space="preserve"> Centre, Legal </w:t>
      </w:r>
      <w:proofErr w:type="spellStart"/>
      <w:r w:rsidRPr="004D456B">
        <w:rPr>
          <w:i/>
        </w:rPr>
        <w:t>Defence</w:t>
      </w:r>
      <w:proofErr w:type="spellEnd"/>
      <w:r w:rsidRPr="004D456B">
        <w:rPr>
          <w:i/>
        </w:rPr>
        <w:t xml:space="preserve"> and Assistance Project v Nigeria</w:t>
      </w:r>
      <w:r w:rsidRPr="008145DD">
        <w:t xml:space="preserve"> (218/98), African Commission (2001) §27; </w:t>
      </w:r>
      <w:r w:rsidRPr="0045214F">
        <w:rPr>
          <w:i/>
        </w:rPr>
        <w:t>González del Río v Peru</w:t>
      </w:r>
      <w:r w:rsidRPr="008145DD">
        <w:t xml:space="preserve">, HRC, UN Doc. CCPR/C/46/D/263/1987 (1992) §5.1; </w:t>
      </w:r>
      <w:proofErr w:type="spellStart"/>
      <w:r w:rsidRPr="0045214F">
        <w:rPr>
          <w:i/>
        </w:rPr>
        <w:t>Reverón</w:t>
      </w:r>
      <w:proofErr w:type="spellEnd"/>
      <w:r w:rsidRPr="0045214F">
        <w:rPr>
          <w:i/>
        </w:rPr>
        <w:t xml:space="preserve"> Trujillo v Venezuela</w:t>
      </w:r>
      <w:r w:rsidRPr="008145DD">
        <w:t>, Inter-American Court (2009) §68; See, Inter-American Court Advisory Opinions: OC-8/87 (1987) §§29-30, OC-9/87 (1987) §20; ICRC Study on Customary International Law, Volume 1, Rule 100, pp</w:t>
      </w:r>
      <w:r>
        <w:t xml:space="preserve">. </w:t>
      </w:r>
      <w:r w:rsidRPr="008145DD">
        <w:t>352-356.</w:t>
      </w:r>
    </w:p>
  </w:footnote>
  <w:footnote w:id="341">
    <w:p w14:paraId="27D1AAC8" w14:textId="77777777" w:rsidR="00876AA0" w:rsidRPr="008145DD" w:rsidRDefault="00876AA0" w:rsidP="008145DD">
      <w:pPr>
        <w:pStyle w:val="RTFootnotetext"/>
      </w:pPr>
      <w:r w:rsidRPr="008145DD">
        <w:rPr>
          <w:rStyle w:val="FootnoteReference"/>
          <w:vertAlign w:val="baseline"/>
        </w:rPr>
        <w:footnoteRef/>
      </w:r>
      <w:r w:rsidRPr="008145DD">
        <w:t xml:space="preserve"> See generally ICCPR, Art. </w:t>
      </w:r>
      <w:proofErr w:type="gramStart"/>
      <w:r w:rsidRPr="008145DD">
        <w:t>14 (fair trial) and Article 15 (no retroactive penal laws).</w:t>
      </w:r>
      <w:proofErr w:type="gramEnd"/>
      <w:r w:rsidRPr="008145DD">
        <w:t xml:space="preserve">  </w:t>
      </w:r>
    </w:p>
  </w:footnote>
  <w:footnote w:id="342">
    <w:p w14:paraId="3191764D" w14:textId="77777777" w:rsidR="00876AA0" w:rsidRPr="008145DD" w:rsidRDefault="00876AA0" w:rsidP="008145DD">
      <w:pPr>
        <w:pStyle w:val="RTFootnotetext"/>
      </w:pPr>
      <w:r w:rsidRPr="008145DD">
        <w:rPr>
          <w:rStyle w:val="FootnoteReference"/>
          <w:vertAlign w:val="baseline"/>
        </w:rPr>
        <w:footnoteRef/>
      </w:r>
      <w:r w:rsidRPr="008145DD">
        <w:t xml:space="preserve"> See generally American Convention on Human Rights, Art. </w:t>
      </w:r>
      <w:proofErr w:type="gramStart"/>
      <w:r w:rsidRPr="008145DD">
        <w:t>8 (fair trial) and Art.</w:t>
      </w:r>
      <w:proofErr w:type="gramEnd"/>
      <w:r w:rsidRPr="008145DD">
        <w:t xml:space="preserve"> </w:t>
      </w:r>
      <w:proofErr w:type="gramStart"/>
      <w:r w:rsidRPr="008145DD">
        <w:t>9 (freedom from ex-post facto laws).</w:t>
      </w:r>
      <w:proofErr w:type="gramEnd"/>
      <w:r w:rsidRPr="008145DD">
        <w:t xml:space="preserve"> According to Article 27 ACHR, judicial guarantees have been given non-</w:t>
      </w:r>
      <w:proofErr w:type="spellStart"/>
      <w:r w:rsidRPr="008145DD">
        <w:t>derogable</w:t>
      </w:r>
      <w:proofErr w:type="spellEnd"/>
      <w:r w:rsidRPr="008145DD">
        <w:t xml:space="preserve"> status, which means that certain aspects of the right to a fair trial are non-</w:t>
      </w:r>
      <w:proofErr w:type="spellStart"/>
      <w:r w:rsidRPr="008145DD">
        <w:t>derogable</w:t>
      </w:r>
      <w:proofErr w:type="spellEnd"/>
      <w:r w:rsidRPr="008145DD">
        <w:t xml:space="preserve">.  </w:t>
      </w:r>
    </w:p>
  </w:footnote>
  <w:footnote w:id="343">
    <w:p w14:paraId="347431EE" w14:textId="7C0E4369" w:rsidR="00876AA0" w:rsidRPr="008145DD" w:rsidRDefault="00876AA0" w:rsidP="008145DD">
      <w:pPr>
        <w:pStyle w:val="RTFootnotetext"/>
      </w:pPr>
      <w:r w:rsidRPr="008145DD">
        <w:rPr>
          <w:rStyle w:val="FootnoteReference"/>
          <w:vertAlign w:val="baseline"/>
        </w:rPr>
        <w:footnoteRef/>
      </w:r>
      <w:r w:rsidRPr="008145DD">
        <w:t xml:space="preserve"> </w:t>
      </w:r>
      <w:proofErr w:type="gramStart"/>
      <w:r w:rsidRPr="008145DD">
        <w:t>Inter-American Commission on Human Rights (IACHR), American Declaration of the Rights and Duties of Man, 2 May 1948, Article XVIII</w:t>
      </w:r>
      <w:r>
        <w:t>.</w:t>
      </w:r>
      <w:proofErr w:type="gramEnd"/>
    </w:p>
  </w:footnote>
  <w:footnote w:id="344">
    <w:p w14:paraId="68AC35A6" w14:textId="3BAE8135" w:rsidR="00876AA0" w:rsidRPr="000D0B83" w:rsidRDefault="00876AA0" w:rsidP="000D0B83">
      <w:pPr>
        <w:pStyle w:val="RTFootnotetext"/>
      </w:pPr>
      <w:r w:rsidRPr="000D0B83">
        <w:rPr>
          <w:rStyle w:val="FootnoteReference"/>
          <w:vertAlign w:val="baseline"/>
        </w:rPr>
        <w:footnoteRef/>
      </w:r>
      <w:r w:rsidRPr="000D0B83">
        <w:t xml:space="preserve"> Drug Policy Alliance, “Drug Courts Are Not the Answer: Toward a Health-Centered Approach, 2011, </w:t>
      </w:r>
      <w:hyperlink r:id="rId71" w:history="1">
        <w:r w:rsidRPr="000D0B83">
          <w:rPr>
            <w:rStyle w:val="Hyperlink"/>
            <w:color w:val="000000" w:themeColor="text1"/>
            <w:u w:val="none"/>
          </w:rPr>
          <w:t>www.drugpolicy.org/docUploads/Drug_Courts_Are_Not_the_Answer_Final2.pdf</w:t>
        </w:r>
      </w:hyperlink>
      <w:r w:rsidRPr="000D0B83">
        <w:rPr>
          <w:rStyle w:val="Hyperlink"/>
          <w:color w:val="000000" w:themeColor="text1"/>
          <w:u w:val="none"/>
        </w:rPr>
        <w:t xml:space="preserve"> </w:t>
      </w:r>
      <w:r w:rsidRPr="000D0B83">
        <w:t xml:space="preserve">; J. </w:t>
      </w:r>
      <w:proofErr w:type="spellStart"/>
      <w:r w:rsidRPr="000D0B83">
        <w:t>Csete</w:t>
      </w:r>
      <w:proofErr w:type="spellEnd"/>
      <w:r w:rsidRPr="000D0B83">
        <w:t xml:space="preserve"> and D</w:t>
      </w:r>
      <w:r>
        <w:t>.</w:t>
      </w:r>
      <w:r w:rsidRPr="000D0B83">
        <w:t xml:space="preserve"> </w:t>
      </w:r>
      <w:proofErr w:type="spellStart"/>
      <w:r w:rsidRPr="000D0B83">
        <w:t>Tomasini</w:t>
      </w:r>
      <w:proofErr w:type="spellEnd"/>
      <w:r w:rsidRPr="000D0B83">
        <w:t xml:space="preserve">-Joshi, </w:t>
      </w:r>
      <w:r>
        <w:t>‘</w:t>
      </w:r>
      <w:r w:rsidRPr="000D0B83">
        <w:t>Drug Courts: Equivocal Evidence on a Popular Intervention</w:t>
      </w:r>
      <w:r>
        <w:t>’,</w:t>
      </w:r>
      <w:r w:rsidRPr="000D0B83">
        <w:t xml:space="preserve"> Open Society Foundations, www.opensocietyfoundations.org/reports/drug-courts-equivocal-evidence-popular-intervention </w:t>
      </w:r>
    </w:p>
  </w:footnote>
  <w:footnote w:id="345">
    <w:p w14:paraId="3193185E" w14:textId="1B219342" w:rsidR="00876AA0" w:rsidRPr="000D0B83" w:rsidRDefault="00876AA0" w:rsidP="000D0B83">
      <w:pPr>
        <w:pStyle w:val="RTFootnotetext"/>
      </w:pPr>
      <w:r w:rsidRPr="000D0B83">
        <w:rPr>
          <w:rStyle w:val="FootnoteReference"/>
          <w:vertAlign w:val="baseline"/>
        </w:rPr>
        <w:footnoteRef/>
      </w:r>
      <w:r w:rsidRPr="000D0B83">
        <w:t xml:space="preserve"> See Report of the UN Working Group on Arbitrary Detention after their visit to Canada, 5 December 2005, UN Doc E/CN.4/2006/7/Add.2 para. 57</w:t>
      </w:r>
      <w:r>
        <w:t>.</w:t>
      </w:r>
    </w:p>
  </w:footnote>
  <w:footnote w:id="346">
    <w:p w14:paraId="731A99AC" w14:textId="721B1D8B" w:rsidR="00876AA0" w:rsidRPr="000D0B83" w:rsidRDefault="00876AA0" w:rsidP="000D0B83">
      <w:pPr>
        <w:pStyle w:val="RTFootnotetext"/>
      </w:pPr>
      <w:r w:rsidRPr="000D0B83">
        <w:rPr>
          <w:rStyle w:val="FootnoteReference"/>
          <w:vertAlign w:val="baseline"/>
        </w:rPr>
        <w:footnoteRef/>
      </w:r>
      <w:r w:rsidRPr="000D0B83">
        <w:t xml:space="preserve"> </w:t>
      </w:r>
      <w:proofErr w:type="gramStart"/>
      <w:r w:rsidRPr="000D0B83">
        <w:t>ICCPR Article 14</w:t>
      </w:r>
      <w:r>
        <w:t>.</w:t>
      </w:r>
      <w:proofErr w:type="gramEnd"/>
    </w:p>
  </w:footnote>
  <w:footnote w:id="347">
    <w:p w14:paraId="5E865F48" w14:textId="0272DB2A" w:rsidR="00876AA0" w:rsidRPr="000D0B83" w:rsidRDefault="00876AA0" w:rsidP="000D0B83">
      <w:pPr>
        <w:pStyle w:val="RTFootnotetext"/>
      </w:pPr>
      <w:r w:rsidRPr="000D0B83">
        <w:rPr>
          <w:rStyle w:val="FootnoteReference"/>
          <w:vertAlign w:val="baseline"/>
        </w:rPr>
        <w:footnoteRef/>
      </w:r>
      <w:r w:rsidRPr="000D0B83">
        <w:t xml:space="preserve"> Human Rights Committee, General Comment 32</w:t>
      </w:r>
      <w:r>
        <w:t xml:space="preserve"> (Article 14: Right to equality before courts and tribunals and to a fair trial)</w:t>
      </w:r>
      <w:r w:rsidRPr="000D0B83">
        <w:t xml:space="preserve">, </w:t>
      </w:r>
      <w:r>
        <w:t>23 August 200</w:t>
      </w:r>
      <w:r w:rsidRPr="000D0B83">
        <w:t>7</w:t>
      </w:r>
      <w:r>
        <w:t>,</w:t>
      </w:r>
      <w:r w:rsidRPr="00B24E50">
        <w:t xml:space="preserve"> </w:t>
      </w:r>
      <w:r w:rsidRPr="000D0B83">
        <w:t xml:space="preserve">UN Doc. CCPR/C/GC/32, para. </w:t>
      </w:r>
      <w:proofErr w:type="gramStart"/>
      <w:r w:rsidRPr="000D0B83">
        <w:t>22; Universal Declaration</w:t>
      </w:r>
      <w:r>
        <w:t xml:space="preserve"> of Human Rights Article 10;</w:t>
      </w:r>
      <w:r w:rsidRPr="000D0B83">
        <w:t xml:space="preserve"> </w:t>
      </w:r>
      <w:r>
        <w:t xml:space="preserve">ICCPR </w:t>
      </w:r>
      <w:r w:rsidRPr="000D0B83">
        <w:t>Article 14.</w:t>
      </w:r>
      <w:proofErr w:type="gramEnd"/>
    </w:p>
  </w:footnote>
  <w:footnote w:id="348">
    <w:p w14:paraId="64023A7A" w14:textId="5C4C6359" w:rsidR="00876AA0" w:rsidRPr="000D0B83" w:rsidRDefault="00876AA0" w:rsidP="000D0B83">
      <w:pPr>
        <w:pStyle w:val="RTFootnotetext"/>
      </w:pPr>
      <w:r w:rsidRPr="000D0B83">
        <w:rPr>
          <w:rStyle w:val="FootnoteReference"/>
          <w:vertAlign w:val="baseline"/>
        </w:rPr>
        <w:footnoteRef/>
      </w:r>
      <w:r w:rsidRPr="000D0B83">
        <w:t xml:space="preserve">  See Inter-American Commission</w:t>
      </w:r>
      <w:r>
        <w:t xml:space="preserve"> on Human Rights,</w:t>
      </w:r>
      <w:r w:rsidRPr="000D0B83">
        <w:t xml:space="preserve"> </w:t>
      </w:r>
      <w:r>
        <w:t>‘</w:t>
      </w:r>
      <w:r w:rsidRPr="000D0B83">
        <w:t>Report on Terrorism and Human Rights</w:t>
      </w:r>
      <w:r>
        <w:t>’, 22 October 2002, OEA/</w:t>
      </w:r>
      <w:proofErr w:type="spellStart"/>
      <w:r>
        <w:t>Ser.L</w:t>
      </w:r>
      <w:proofErr w:type="spellEnd"/>
      <w:r>
        <w:t>/V/II.116 Doc. 5 rev.1 corr.</w:t>
      </w:r>
      <w:r w:rsidRPr="000D0B83">
        <w:t>, Section D, para. 230.</w:t>
      </w:r>
    </w:p>
  </w:footnote>
  <w:footnote w:id="349">
    <w:p w14:paraId="448A34AF" w14:textId="124B1127" w:rsidR="00876AA0" w:rsidRPr="000D0B83" w:rsidRDefault="00876AA0" w:rsidP="00F54248">
      <w:pPr>
        <w:pStyle w:val="FootnoteText"/>
      </w:pPr>
      <w:r w:rsidRPr="000D0B83">
        <w:rPr>
          <w:rStyle w:val="FootnoteReference"/>
          <w:vertAlign w:val="baseline"/>
        </w:rPr>
        <w:footnoteRef/>
      </w:r>
      <w:r w:rsidRPr="000D0B83">
        <w:t xml:space="preserve"> </w:t>
      </w:r>
      <w:proofErr w:type="gramStart"/>
      <w:r w:rsidRPr="000D0B83">
        <w:t>Report of the U.N. Special Rapporteur on the right of everyone to the enjoyment of the highest attainable standard of physical and mental health, 6 August 2010, UN Doc.</w:t>
      </w:r>
      <w:proofErr w:type="gramEnd"/>
      <w:r w:rsidRPr="000D0B83">
        <w:t xml:space="preserve"> </w:t>
      </w:r>
      <w:proofErr w:type="gramStart"/>
      <w:r w:rsidRPr="000D0B83">
        <w:t>A/65/255</w:t>
      </w:r>
      <w:r>
        <w:t>,</w:t>
      </w:r>
      <w:r w:rsidRPr="000D0B83">
        <w:t xml:space="preserve"> para</w:t>
      </w:r>
      <w:r>
        <w:t>.</w:t>
      </w:r>
      <w:proofErr w:type="gramEnd"/>
      <w:r w:rsidRPr="000D0B83">
        <w:t xml:space="preserve"> 7; National Institute on Drug Abuse, </w:t>
      </w:r>
      <w:r>
        <w:t>‘</w:t>
      </w:r>
      <w:r w:rsidRPr="000D0B83">
        <w:t>The Science of Drug Abuse and Addiction: The Basics</w:t>
      </w:r>
      <w:r>
        <w:t>’</w:t>
      </w:r>
      <w:r w:rsidRPr="000D0B83">
        <w:t xml:space="preserve">, </w:t>
      </w:r>
      <w:hyperlink r:id="rId72" w:history="1">
        <w:r w:rsidRPr="000D0B83">
          <w:rPr>
            <w:rStyle w:val="Hyperlink"/>
            <w:color w:val="000000" w:themeColor="text1"/>
            <w:u w:val="none"/>
          </w:rPr>
          <w:t>www.drugabuse.gov/publications/media-guide/science-drug-abuse-addiction-basics</w:t>
        </w:r>
      </w:hyperlink>
      <w:r w:rsidRPr="000D0B83">
        <w:t xml:space="preserve">; </w:t>
      </w:r>
      <w:r w:rsidRPr="002402A8">
        <w:t>UN Office on Drugs and Crim</w:t>
      </w:r>
      <w:r>
        <w:t>e and World Health Organization,</w:t>
      </w:r>
      <w:r w:rsidRPr="002402A8">
        <w:t xml:space="preserve"> Principles of Drug Dependence Treatment (Discussion paper)</w:t>
      </w:r>
      <w:r>
        <w:t>,</w:t>
      </w:r>
      <w:r w:rsidRPr="002402A8">
        <w:t xml:space="preserve"> Vienna, 2008</w:t>
      </w:r>
      <w:r>
        <w:t xml:space="preserve">, </w:t>
      </w:r>
      <w:r w:rsidRPr="00894C80">
        <w:t>www.unodc.org/documents/ drug-treatment/UNODC-WHO-Principles-ofDrug-Dependence-Treatment-March08.pdf p.10</w:t>
      </w:r>
      <w:r>
        <w:t xml:space="preserve"> </w:t>
      </w:r>
    </w:p>
  </w:footnote>
  <w:footnote w:id="350">
    <w:p w14:paraId="0513F9AA" w14:textId="2B84F492" w:rsidR="00876AA0" w:rsidRPr="000D0B83" w:rsidRDefault="00876AA0" w:rsidP="000D0B83">
      <w:pPr>
        <w:pStyle w:val="RTFootnotetext"/>
      </w:pPr>
      <w:r w:rsidRPr="000D0B83">
        <w:rPr>
          <w:rStyle w:val="FootnoteReference"/>
          <w:vertAlign w:val="baseline"/>
        </w:rPr>
        <w:footnoteRef/>
      </w:r>
      <w:r w:rsidRPr="000D0B83">
        <w:t xml:space="preserve"> See M. Nowak, U.N. Covenant on Civil and Political Rights: CCPR Commentary, 2nd revised edition, Engel, 2005, p</w:t>
      </w:r>
      <w:r>
        <w:t xml:space="preserve">. </w:t>
      </w:r>
      <w:r w:rsidRPr="000D0B83">
        <w:t>345, para. 75.</w:t>
      </w:r>
    </w:p>
  </w:footnote>
  <w:footnote w:id="351">
    <w:p w14:paraId="6A5DAB4C" w14:textId="3C3D1655" w:rsidR="00876AA0" w:rsidRPr="000D0B83" w:rsidRDefault="00876AA0" w:rsidP="000D0B83">
      <w:pPr>
        <w:pStyle w:val="RTFootnotetext"/>
      </w:pPr>
      <w:r w:rsidRPr="000D0B83">
        <w:rPr>
          <w:rStyle w:val="FootnoteReference"/>
          <w:vertAlign w:val="baseline"/>
        </w:rPr>
        <w:footnoteRef/>
      </w:r>
      <w:r w:rsidRPr="000D0B83">
        <w:t xml:space="preserve">  </w:t>
      </w:r>
      <w:proofErr w:type="gramStart"/>
      <w:r>
        <w:t>United Nations Rules for the Treatment of Women Prisoners and Non-custodial Measures for Women Offenders (the Bangkok Rules), UN General Assembly Resolution 65/229, 16 March 2011, UN Doc.</w:t>
      </w:r>
      <w:proofErr w:type="gramEnd"/>
      <w:r>
        <w:t xml:space="preserve"> </w:t>
      </w:r>
      <w:proofErr w:type="gramStart"/>
      <w:r>
        <w:t xml:space="preserve">A/RES/65/229, </w:t>
      </w:r>
      <w:r w:rsidRPr="000D0B83">
        <w:t xml:space="preserve">Rules 57, 58, 61 and 64; Special Rapporteur on the independence of judges and lawyers, </w:t>
      </w:r>
      <w:r>
        <w:t xml:space="preserve">10 August 2011, </w:t>
      </w:r>
      <w:r w:rsidRPr="000D0B83">
        <w:t>UN Doc.</w:t>
      </w:r>
      <w:proofErr w:type="gramEnd"/>
      <w:r w:rsidRPr="000D0B83">
        <w:t xml:space="preserve"> </w:t>
      </w:r>
      <w:proofErr w:type="gramStart"/>
      <w:r w:rsidRPr="000D0B83">
        <w:t>A/66/289</w:t>
      </w:r>
      <w:r>
        <w:t>,</w:t>
      </w:r>
      <w:r w:rsidRPr="000D0B83">
        <w:t xml:space="preserve"> para.</w:t>
      </w:r>
      <w:proofErr w:type="gramEnd"/>
      <w:r w:rsidRPr="000D0B83">
        <w:t xml:space="preserve"> </w:t>
      </w:r>
      <w:proofErr w:type="gramStart"/>
      <w:r w:rsidRPr="000D0B83">
        <w:t>102; Special Rapporteur on torture</w:t>
      </w:r>
      <w:r>
        <w:t xml:space="preserve"> and other cruel, inhuman or degrading treatment or punishment</w:t>
      </w:r>
      <w:r w:rsidRPr="000D0B83">
        <w:t xml:space="preserve">, </w:t>
      </w:r>
      <w:r>
        <w:t xml:space="preserve">10 March 2008, </w:t>
      </w:r>
      <w:r w:rsidRPr="000D0B83">
        <w:t>UN Doc.</w:t>
      </w:r>
      <w:proofErr w:type="gramEnd"/>
      <w:r w:rsidRPr="000D0B83">
        <w:t xml:space="preserve"> </w:t>
      </w:r>
      <w:proofErr w:type="gramStart"/>
      <w:r w:rsidRPr="000D0B83">
        <w:t>A/HRC/7/3</w:t>
      </w:r>
      <w:r>
        <w:t>,</w:t>
      </w:r>
      <w:r w:rsidRPr="000D0B83">
        <w:t xml:space="preserve"> para.</w:t>
      </w:r>
      <w:proofErr w:type="gramEnd"/>
      <w:r w:rsidRPr="000D0B83">
        <w:t xml:space="preserve"> 41.</w:t>
      </w:r>
    </w:p>
  </w:footnote>
  <w:footnote w:id="352">
    <w:p w14:paraId="268179D2" w14:textId="26A74388" w:rsidR="00876AA0" w:rsidRPr="000D0B83" w:rsidRDefault="00876AA0" w:rsidP="000D0B83">
      <w:pPr>
        <w:pStyle w:val="RTFootnotetext"/>
      </w:pPr>
      <w:r w:rsidRPr="000D0B83">
        <w:rPr>
          <w:rStyle w:val="FootnoteReference"/>
          <w:vertAlign w:val="baseline"/>
        </w:rPr>
        <w:footnoteRef/>
      </w:r>
      <w:r w:rsidRPr="000D0B83">
        <w:t xml:space="preserve"> </w:t>
      </w:r>
      <w:proofErr w:type="gramStart"/>
      <w:r w:rsidRPr="000D0B83">
        <w:t>Report of the Special Rapporteur on the independence of judges and lawyers, 15 March 2013</w:t>
      </w:r>
      <w:r>
        <w:t>,</w:t>
      </w:r>
      <w:r w:rsidRPr="000D0B83">
        <w:t xml:space="preserve"> UN Doc.</w:t>
      </w:r>
      <w:proofErr w:type="gramEnd"/>
      <w:r w:rsidRPr="000D0B83">
        <w:t xml:space="preserve"> </w:t>
      </w:r>
      <w:proofErr w:type="gramStart"/>
      <w:r w:rsidRPr="000D0B83">
        <w:t>A/HRC/23/43</w:t>
      </w:r>
      <w:r>
        <w:t>,</w:t>
      </w:r>
      <w:r w:rsidRPr="000D0B83">
        <w:t xml:space="preserve"> para.</w:t>
      </w:r>
      <w:proofErr w:type="gramEnd"/>
      <w:r>
        <w:t xml:space="preserve"> </w:t>
      </w:r>
      <w:r w:rsidRPr="000D0B83">
        <w:t>82.</w:t>
      </w:r>
    </w:p>
  </w:footnote>
  <w:footnote w:id="353">
    <w:p w14:paraId="502B46C1" w14:textId="4CA67C9E" w:rsidR="00876AA0" w:rsidRPr="000D0B83" w:rsidRDefault="00876AA0" w:rsidP="000D0B83">
      <w:pPr>
        <w:pStyle w:val="RTFootnotetext"/>
      </w:pPr>
      <w:r w:rsidRPr="000D0B83">
        <w:rPr>
          <w:rStyle w:val="FootnoteReference"/>
          <w:vertAlign w:val="baseline"/>
        </w:rPr>
        <w:footnoteRef/>
      </w:r>
      <w:r w:rsidRPr="000D0B83">
        <w:t xml:space="preserve"> </w:t>
      </w:r>
      <w:proofErr w:type="gramStart"/>
      <w:r w:rsidRPr="000D0B83">
        <w:t>Report of the U.N. Special Rapporteur on the right of everyone to the enjoyment of the highest attainable standard of physical and mental health, 6 August 2010, UN Doc.</w:t>
      </w:r>
      <w:proofErr w:type="gramEnd"/>
      <w:r w:rsidRPr="000D0B83">
        <w:t xml:space="preserve"> </w:t>
      </w:r>
      <w:proofErr w:type="gramStart"/>
      <w:r w:rsidRPr="000D0B83">
        <w:t>A/65/255 at para</w:t>
      </w:r>
      <w:r>
        <w:t>.</w:t>
      </w:r>
      <w:proofErr w:type="gramEnd"/>
      <w:r w:rsidRPr="000D0B83">
        <w:t xml:space="preserve"> 7; </w:t>
      </w:r>
      <w:r>
        <w:t>s</w:t>
      </w:r>
      <w:r w:rsidRPr="000D0B83">
        <w:t>ee Official Records of the Economic and Social Council, 2010, Supplement No. 8</w:t>
      </w:r>
      <w:r>
        <w:t xml:space="preserve">, UN Doc. </w:t>
      </w:r>
      <w:r w:rsidRPr="000D0B83">
        <w:t xml:space="preserve">E/2010/28, p. 47; National Institute on Drug Abuse, </w:t>
      </w:r>
      <w:r>
        <w:t>‘</w:t>
      </w:r>
      <w:r w:rsidRPr="000D0B83">
        <w:t>The Science of Drug Abuse and Addiction: The Basics</w:t>
      </w:r>
      <w:r>
        <w:t xml:space="preserve">’, </w:t>
      </w:r>
      <w:r w:rsidRPr="000D0B83">
        <w:t>www.drugabuse.gov/publications/media-guide/science-drug-abuse-addiction-basics</w:t>
      </w:r>
    </w:p>
  </w:footnote>
  <w:footnote w:id="354">
    <w:p w14:paraId="27462F4F" w14:textId="01D323E0" w:rsidR="00876AA0" w:rsidRPr="000D0B83" w:rsidRDefault="00876AA0" w:rsidP="000D0B83">
      <w:pPr>
        <w:pStyle w:val="RTFootnotetext"/>
      </w:pPr>
      <w:r w:rsidRPr="000D0B83">
        <w:rPr>
          <w:rStyle w:val="FootnoteReference"/>
          <w:vertAlign w:val="baseline"/>
        </w:rPr>
        <w:footnoteRef/>
      </w:r>
      <w:r w:rsidRPr="000D0B83">
        <w:t xml:space="preserve"> </w:t>
      </w:r>
      <w:r>
        <w:t xml:space="preserve">R. </w:t>
      </w:r>
      <w:proofErr w:type="spellStart"/>
      <w:r w:rsidRPr="000D0B83">
        <w:t>Boldt</w:t>
      </w:r>
      <w:proofErr w:type="spellEnd"/>
      <w:r w:rsidRPr="000D0B83">
        <w:t xml:space="preserve">, </w:t>
      </w:r>
      <w:r>
        <w:t>‘</w:t>
      </w:r>
      <w:r w:rsidRPr="000D0B83">
        <w:t>A Circumspect Look at Problem-Solving Courts</w:t>
      </w:r>
      <w:r>
        <w:t>’</w:t>
      </w:r>
      <w:r w:rsidRPr="000D0B83">
        <w:t>, in Problem-Solving Courts: Justice for the Twenty-First Century</w:t>
      </w:r>
      <w:proofErr w:type="gramStart"/>
      <w:r w:rsidRPr="000D0B83">
        <w:t>?,</w:t>
      </w:r>
      <w:proofErr w:type="gramEnd"/>
      <w:r w:rsidRPr="000D0B83">
        <w:t xml:space="preserve"> eds. P</w:t>
      </w:r>
      <w:r>
        <w:t>.</w:t>
      </w:r>
      <w:r w:rsidRPr="000D0B83">
        <w:t xml:space="preserve"> </w:t>
      </w:r>
      <w:proofErr w:type="spellStart"/>
      <w:r w:rsidRPr="000D0B83">
        <w:t>Higgens</w:t>
      </w:r>
      <w:proofErr w:type="spellEnd"/>
      <w:r w:rsidRPr="000D0B83">
        <w:t xml:space="preserve"> and M. </w:t>
      </w:r>
      <w:proofErr w:type="spellStart"/>
      <w:r w:rsidRPr="000D0B83">
        <w:t>MacKinem</w:t>
      </w:r>
      <w:proofErr w:type="spellEnd"/>
      <w:r>
        <w:t xml:space="preserve">, </w:t>
      </w:r>
      <w:r w:rsidRPr="000D0B83">
        <w:t>Santa Barbara: ABC-CLIO, 2009.</w:t>
      </w:r>
    </w:p>
  </w:footnote>
  <w:footnote w:id="355">
    <w:p w14:paraId="524CD63B" w14:textId="1C1405AB" w:rsidR="00876AA0" w:rsidRPr="00B5083F" w:rsidRDefault="00876AA0" w:rsidP="000D0B83">
      <w:pPr>
        <w:pStyle w:val="RTFootnotetext"/>
      </w:pPr>
      <w:r w:rsidRPr="000D0B83">
        <w:rPr>
          <w:rStyle w:val="FootnoteReference"/>
          <w:vertAlign w:val="baseline"/>
        </w:rPr>
        <w:footnoteRef/>
      </w:r>
      <w:r w:rsidRPr="000D0B83">
        <w:t xml:space="preserve"> See: National Institute of Justice</w:t>
      </w:r>
      <w:r>
        <w:t>, Community Corrections,</w:t>
      </w:r>
      <w:r w:rsidRPr="000D0B83">
        <w:t xml:space="preserve"> </w:t>
      </w:r>
      <w:hyperlink r:id="rId73" w:history="1">
        <w:r w:rsidRPr="000D0B83">
          <w:rPr>
            <w:rStyle w:val="Hyperlink"/>
            <w:color w:val="000000" w:themeColor="text1"/>
            <w:u w:val="none"/>
          </w:rPr>
          <w:t>www.nij.gov/topics/corrections/community/pages/welcome.aspx</w:t>
        </w:r>
      </w:hyperlink>
      <w:r w:rsidRPr="000D0B83">
        <w:t xml:space="preserve"> </w:t>
      </w:r>
    </w:p>
  </w:footnote>
  <w:footnote w:id="356">
    <w:p w14:paraId="4168929C" w14:textId="09EFB7FC" w:rsidR="00876AA0" w:rsidRPr="008145DD" w:rsidRDefault="00876AA0" w:rsidP="008145DD">
      <w:pPr>
        <w:pStyle w:val="RTFootnotetext"/>
      </w:pPr>
      <w:r w:rsidRPr="008145DD">
        <w:rPr>
          <w:rStyle w:val="FootnoteReference"/>
          <w:vertAlign w:val="baseline"/>
        </w:rPr>
        <w:footnoteRef/>
      </w:r>
      <w:r w:rsidRPr="008145DD">
        <w:t xml:space="preserve"> See generally UN Commission on Human Rights, 41st Sess., 28 September 1984, </w:t>
      </w:r>
      <w:proofErr w:type="spellStart"/>
      <w:r w:rsidRPr="008145DD">
        <w:t>Siracusa</w:t>
      </w:r>
      <w:proofErr w:type="spellEnd"/>
      <w:r w:rsidRPr="008145DD">
        <w:t xml:space="preserve"> Principles on the Limitation and Derogation Provisions in the International Covenant on Civil and Political Rights, UN Doc. E/CN.4/1985/4, annex. [hereinafter </w:t>
      </w:r>
      <w:proofErr w:type="spellStart"/>
      <w:r w:rsidRPr="008145DD">
        <w:t>Siracusa</w:t>
      </w:r>
      <w:proofErr w:type="spellEnd"/>
      <w:r w:rsidRPr="008145DD">
        <w:t xml:space="preserve"> Principles] The </w:t>
      </w:r>
      <w:proofErr w:type="spellStart"/>
      <w:r w:rsidRPr="008145DD">
        <w:t>Siracusa</w:t>
      </w:r>
      <w:proofErr w:type="spellEnd"/>
      <w:r w:rsidRPr="008145DD">
        <w:t xml:space="preserve"> Principles lay out the extent to which states can limit and/or derogate from individual human rights to promote the ‘public good.’ They were initially adopted in relation to the International Covenant on Civil and Political Rights (ICCPR), but over time have been applied to analyze state restrictions on rights more broadly. See S</w:t>
      </w:r>
      <w:r>
        <w:t>.</w:t>
      </w:r>
      <w:r w:rsidRPr="008145DD">
        <w:t xml:space="preserve"> </w:t>
      </w:r>
      <w:proofErr w:type="spellStart"/>
      <w:r w:rsidRPr="008145DD">
        <w:t>Abiola</w:t>
      </w:r>
      <w:proofErr w:type="spellEnd"/>
      <w:r>
        <w:t>,</w:t>
      </w:r>
      <w:r w:rsidRPr="008145DD">
        <w:t xml:space="preserve"> ‘The </w:t>
      </w:r>
      <w:proofErr w:type="spellStart"/>
      <w:r w:rsidRPr="008145DD">
        <w:t>Siracusa</w:t>
      </w:r>
      <w:proofErr w:type="spellEnd"/>
      <w:r w:rsidRPr="008145DD">
        <w:t xml:space="preserve"> Principles on the Limitation and Derogation Provisions in the International Covenant for Civil and Political Rights (ICCPR): History and Interpretation in Public Health Context’  (Research Memorandum Prepared for the Open Society Institute’s Public Health Program Law and Health Initiative) (2011); see also UN Commission on Human Rights, 43rd Sess., 8 January 1987, Limburg Principles on the Implementation of the International Covenant on Economic, Social and Cultural Rights, UN Doc. E/CN.4/1987/17, annex [hereinafter Limburg Principles] (providing interpretive guidance regarding states’ compliance with the International Covenant on Economic, Social and Cultural Rights); </w:t>
      </w:r>
      <w:proofErr w:type="spellStart"/>
      <w:r w:rsidRPr="008145DD">
        <w:t>Masstricht</w:t>
      </w:r>
      <w:proofErr w:type="spellEnd"/>
      <w:r w:rsidRPr="008145DD">
        <w:t xml:space="preserve"> Guidelines on Violations of Economic, Social and Cultural Rights (expert guidelines), 29 February 2012, (elaborating on the Limburg Principles regarding the nature and scope of violations of economic, social and cultural rights and appropriate responses and remedies). For additional expert and scholarly analysis of limits on states’ policing power, see N</w:t>
      </w:r>
      <w:r>
        <w:t>.</w:t>
      </w:r>
      <w:r w:rsidRPr="008145DD">
        <w:t xml:space="preserve"> </w:t>
      </w:r>
      <w:proofErr w:type="spellStart"/>
      <w:r w:rsidRPr="008145DD">
        <w:t>Jareborg</w:t>
      </w:r>
      <w:proofErr w:type="spellEnd"/>
      <w:r w:rsidRPr="008145DD">
        <w:t xml:space="preserve"> ‘Criminalization as Last Resort (</w:t>
      </w:r>
      <w:proofErr w:type="spellStart"/>
      <w:r w:rsidRPr="008145DD">
        <w:t>Ultima</w:t>
      </w:r>
      <w:proofErr w:type="spellEnd"/>
      <w:r w:rsidRPr="008145DD">
        <w:t xml:space="preserve"> Ratio)’ (2005) 2 Ohio State Journal of Criminal Law 521; D</w:t>
      </w:r>
      <w:r>
        <w:t>.</w:t>
      </w:r>
      <w:r w:rsidRPr="008145DD">
        <w:t xml:space="preserve"> </w:t>
      </w:r>
      <w:proofErr w:type="spellStart"/>
      <w:r w:rsidRPr="008145DD">
        <w:t>Husak</w:t>
      </w:r>
      <w:proofErr w:type="spellEnd"/>
      <w:r w:rsidRPr="008145DD">
        <w:t xml:space="preserve"> ‘The Criminal Law as a Last Resort’ (2004) 24 Oxford Journal of Legal Studies 207.</w:t>
      </w:r>
    </w:p>
  </w:footnote>
  <w:footnote w:id="357">
    <w:p w14:paraId="63CD4389" w14:textId="472A3AED" w:rsidR="00876AA0" w:rsidRPr="008145DD" w:rsidRDefault="00876AA0" w:rsidP="008145DD">
      <w:pPr>
        <w:pStyle w:val="RTFootnotetext"/>
      </w:pPr>
      <w:r w:rsidRPr="008145DD">
        <w:rPr>
          <w:rStyle w:val="FootnoteReference"/>
          <w:vertAlign w:val="baseline"/>
        </w:rPr>
        <w:footnoteRef/>
      </w:r>
      <w:r w:rsidRPr="008145DD">
        <w:t xml:space="preserve"> See generally N</w:t>
      </w:r>
      <w:r>
        <w:t>.</w:t>
      </w:r>
      <w:r w:rsidRPr="008145DD">
        <w:t xml:space="preserve"> </w:t>
      </w:r>
      <w:proofErr w:type="spellStart"/>
      <w:r w:rsidRPr="008145DD">
        <w:t>Jareborg</w:t>
      </w:r>
      <w:proofErr w:type="spellEnd"/>
      <w:r w:rsidRPr="008145DD">
        <w:t>, Criminalization as Last Resort (</w:t>
      </w:r>
      <w:proofErr w:type="spellStart"/>
      <w:r w:rsidRPr="008145DD">
        <w:t>Ultima</w:t>
      </w:r>
      <w:proofErr w:type="spellEnd"/>
      <w:r w:rsidRPr="008145DD">
        <w:t xml:space="preserve"> Ratio), 2 Ohio State J</w:t>
      </w:r>
      <w:r>
        <w:t>ournal</w:t>
      </w:r>
      <w:r w:rsidRPr="008145DD">
        <w:t xml:space="preserve"> of Crim</w:t>
      </w:r>
      <w:r>
        <w:t>inal</w:t>
      </w:r>
      <w:r w:rsidRPr="008145DD">
        <w:t xml:space="preserve"> L</w:t>
      </w:r>
      <w:r>
        <w:t>aw</w:t>
      </w:r>
      <w:r w:rsidRPr="008145DD">
        <w:t xml:space="preserve"> 521 (2005); D</w:t>
      </w:r>
      <w:r>
        <w:t>.</w:t>
      </w:r>
      <w:r w:rsidRPr="008145DD">
        <w:t xml:space="preserve"> </w:t>
      </w:r>
      <w:proofErr w:type="spellStart"/>
      <w:r w:rsidRPr="008145DD">
        <w:t>Husak</w:t>
      </w:r>
      <w:proofErr w:type="spellEnd"/>
      <w:r w:rsidRPr="008145DD">
        <w:t>, The Criminal Law as Last Resort, 24 OJLS 207 (2004).</w:t>
      </w:r>
    </w:p>
  </w:footnote>
  <w:footnote w:id="358">
    <w:p w14:paraId="54A4C8F1" w14:textId="587027D5" w:rsidR="00876AA0" w:rsidRPr="004A58A5" w:rsidRDefault="00876AA0" w:rsidP="008145DD">
      <w:pPr>
        <w:pStyle w:val="RTFootnotetext"/>
      </w:pPr>
      <w:r w:rsidRPr="008145DD">
        <w:rPr>
          <w:rStyle w:val="FootnoteReference"/>
          <w:vertAlign w:val="baseline"/>
        </w:rPr>
        <w:footnoteRef/>
      </w:r>
      <w:r w:rsidRPr="008145DD">
        <w:t xml:space="preserve"> See S</w:t>
      </w:r>
      <w:r>
        <w:t>.</w:t>
      </w:r>
      <w:r w:rsidRPr="008145DD">
        <w:t xml:space="preserve"> Lamb</w:t>
      </w:r>
      <w:r>
        <w:t>,</w:t>
      </w:r>
      <w:r w:rsidRPr="008145DD">
        <w:t xml:space="preserve"> ‘</w:t>
      </w:r>
      <w:proofErr w:type="spellStart"/>
      <w:r w:rsidRPr="008145DD">
        <w:t>Nullum</w:t>
      </w:r>
      <w:proofErr w:type="spellEnd"/>
      <w:r w:rsidRPr="008145DD">
        <w:t xml:space="preserve"> </w:t>
      </w:r>
      <w:proofErr w:type="spellStart"/>
      <w:r w:rsidRPr="008145DD">
        <w:t>Crimen</w:t>
      </w:r>
      <w:proofErr w:type="spellEnd"/>
      <w:r w:rsidRPr="008145DD">
        <w:t xml:space="preserve">, </w:t>
      </w:r>
      <w:proofErr w:type="spellStart"/>
      <w:r w:rsidRPr="008145DD">
        <w:t>Nulla</w:t>
      </w:r>
      <w:proofErr w:type="spellEnd"/>
      <w:r w:rsidRPr="008145DD">
        <w:t xml:space="preserve"> </w:t>
      </w:r>
      <w:proofErr w:type="spellStart"/>
      <w:r w:rsidRPr="008145DD">
        <w:t>Poena</w:t>
      </w:r>
      <w:proofErr w:type="spellEnd"/>
      <w:r w:rsidRPr="008145DD">
        <w:t xml:space="preserve"> Sine </w:t>
      </w:r>
      <w:proofErr w:type="spellStart"/>
      <w:r w:rsidRPr="008145DD">
        <w:t>Lege</w:t>
      </w:r>
      <w:proofErr w:type="spellEnd"/>
      <w:r w:rsidRPr="008145DD">
        <w:t xml:space="preserve"> in International Criminal Law’</w:t>
      </w:r>
      <w:r>
        <w:t>,</w:t>
      </w:r>
      <w:r w:rsidRPr="008145DD">
        <w:t xml:space="preserve"> in A</w:t>
      </w:r>
      <w:r>
        <w:t>.</w:t>
      </w:r>
      <w:r w:rsidRPr="008145DD">
        <w:t xml:space="preserve"> Cassese &amp; P</w:t>
      </w:r>
      <w:r>
        <w:t>.</w:t>
      </w:r>
      <w:r w:rsidRPr="008145DD">
        <w:t xml:space="preserve"> Gaeta, et al. (eds.)</w:t>
      </w:r>
      <w:r>
        <w:t>,</w:t>
      </w:r>
      <w:r w:rsidRPr="008145DD">
        <w:t xml:space="preserve"> The Rome Statute of the International Criminal Court (2002) 19; Rome Statute of the International Criminal Court, opened for signature 17 July 1998, 2187 U.N.T.S. 90 (entered into force 1 July 2002) Art 22(1); Universal Declaration of Human Rights, adopted 10 December 1948, G.A. Res. 217A (III), UN Doc A/810, Art 11; European Convention for the Protection of Human Rights and Fundamental Freedoms, signed 4 November 1950, 213 U.N.T.S. 222 (entered into force 3 September 1953) Art 7; American Convention on Human Rights, 22 November 1969, O.A.S.T.S. No. 6, O.A.S. Off. Rec. OEA/</w:t>
      </w:r>
      <w:proofErr w:type="spellStart"/>
      <w:r w:rsidRPr="008145DD">
        <w:t>Serv.L</w:t>
      </w:r>
      <w:proofErr w:type="spellEnd"/>
      <w:r w:rsidRPr="008145DD">
        <w:t>/V/II.23, doc. 21, rev. 6 (entered into force July 18 1978) Art 9; African Charter on Human and Peoples’ Rights, adopted 27 June 1981, O.A.U. Doc CAB/LEG/67/3, rev.5, 21 I.L.M 58 (1982) (entered into force 21 October 1986) Art 7; League of Arab States, Arab Charter on Human Rights, May 22, 2004, reprinted in 12 International Human Rights Rep. 893 (2005) (entered into force March 15, 2008) Art 15.</w:t>
      </w:r>
    </w:p>
  </w:footnote>
  <w:footnote w:id="359">
    <w:p w14:paraId="50BDAE26" w14:textId="5F789E29" w:rsidR="00876AA0" w:rsidRPr="008145DD" w:rsidRDefault="00876AA0" w:rsidP="008145DD">
      <w:pPr>
        <w:pStyle w:val="RTFootnotetext"/>
      </w:pPr>
      <w:r w:rsidRPr="008145DD">
        <w:rPr>
          <w:rStyle w:val="FootnoteReference"/>
          <w:vertAlign w:val="baseline"/>
        </w:rPr>
        <w:footnoteRef/>
      </w:r>
      <w:r w:rsidRPr="008145DD">
        <w:t xml:space="preserve"> </w:t>
      </w:r>
      <w:r w:rsidRPr="0045214F">
        <w:rPr>
          <w:i/>
        </w:rPr>
        <w:t>Del Rio Prada v Spain</w:t>
      </w:r>
      <w:r w:rsidRPr="008145DD">
        <w:t>, European Court of Human Rights, Grand Chamber Judgment</w:t>
      </w:r>
      <w:r>
        <w:t>,</w:t>
      </w:r>
      <w:r w:rsidRPr="008145DD">
        <w:t xml:space="preserve"> 21 October 2013, para 91; </w:t>
      </w:r>
      <w:proofErr w:type="spellStart"/>
      <w:r w:rsidRPr="0045214F">
        <w:rPr>
          <w:i/>
        </w:rPr>
        <w:t>Kafkaris</w:t>
      </w:r>
      <w:proofErr w:type="spellEnd"/>
      <w:r w:rsidRPr="0045214F">
        <w:rPr>
          <w:i/>
        </w:rPr>
        <w:t xml:space="preserve"> v Cyprus</w:t>
      </w:r>
      <w:r w:rsidRPr="008145DD">
        <w:t>, European Court of Human Rights, Grand Chamber Judgment</w:t>
      </w:r>
      <w:r>
        <w:t>,</w:t>
      </w:r>
      <w:r w:rsidRPr="008145DD">
        <w:t xml:space="preserve"> 12 February 2008, para</w:t>
      </w:r>
      <w:r>
        <w:t>.</w:t>
      </w:r>
      <w:r w:rsidRPr="008145DD">
        <w:t xml:space="preserve"> 150. </w:t>
      </w:r>
    </w:p>
  </w:footnote>
  <w:footnote w:id="360">
    <w:p w14:paraId="17CED787" w14:textId="0FA00EED" w:rsidR="00876AA0" w:rsidRPr="008145DD" w:rsidRDefault="00876AA0" w:rsidP="008145DD">
      <w:pPr>
        <w:pStyle w:val="RTFootnotetext"/>
      </w:pPr>
      <w:r w:rsidRPr="008145DD">
        <w:rPr>
          <w:rStyle w:val="FootnoteReference"/>
          <w:vertAlign w:val="baseline"/>
        </w:rPr>
        <w:footnoteRef/>
      </w:r>
      <w:r w:rsidRPr="008145DD">
        <w:t xml:space="preserve"> </w:t>
      </w:r>
      <w:r w:rsidRPr="0045214F">
        <w:rPr>
          <w:i/>
        </w:rPr>
        <w:t>Del Rio Prada v Spain</w:t>
      </w:r>
      <w:r w:rsidRPr="008145DD">
        <w:t>, European Court of Human Rights, Grand Chamber Judgment</w:t>
      </w:r>
      <w:r>
        <w:t>,</w:t>
      </w:r>
      <w:r w:rsidRPr="008145DD">
        <w:t xml:space="preserve"> 21 October 2013, para</w:t>
      </w:r>
      <w:r>
        <w:t>.</w:t>
      </w:r>
      <w:r w:rsidRPr="008145DD">
        <w:t xml:space="preserve"> 116. </w:t>
      </w:r>
    </w:p>
  </w:footnote>
  <w:footnote w:id="361">
    <w:p w14:paraId="752F02D9" w14:textId="0C9BB2AD" w:rsidR="00876AA0" w:rsidRPr="00F54248" w:rsidRDefault="00876AA0" w:rsidP="008145DD">
      <w:pPr>
        <w:pStyle w:val="RTFootnotetext"/>
        <w:rPr>
          <w:highlight w:val="yellow"/>
        </w:rPr>
      </w:pPr>
      <w:r w:rsidRPr="008145DD">
        <w:rPr>
          <w:rStyle w:val="FootnoteReference"/>
          <w:vertAlign w:val="baseline"/>
        </w:rPr>
        <w:footnoteRef/>
      </w:r>
      <w:r w:rsidRPr="008145DD">
        <w:t xml:space="preserve"> See International Covenant on Civil and Political Rights, adopted 16 December 1966, G.A. Res. 2200A (XXI), UN GAOR, 21st Sess., Supp. No. 16, UN Doc. A/6316 (1966), 999 U.N.T.S 171 (entered into force Mar. 23, 1976) Arts 19, 21 and 22; International Covenant on Economic, Social and Cultural Rights, adopted 16 December 1966, G.A. Res. 2200A (XXI), UN GAOR, 21st Sess., Supp. No. 16, UN Doc. A/6316 (1966), 993 U.N.T.S. 3 (entered into force Jan. 3, 1976) Art 4; Council of Europe, European Social Charter (revised) signed May 3, 1996, E.T.S. No 163 (entered into force 1 July 1999) Art 31.1; Additional Protocol to the American Convention on Human Rights in the Area of Economic, Social and Cultural Rights (Protocol of San Salvador), adopted 17 November 1988, O.A.S.T.S. No 69, O.A.S. Off. </w:t>
      </w:r>
      <w:proofErr w:type="gramStart"/>
      <w:r w:rsidRPr="008145DD">
        <w:t>Rec. OEA/</w:t>
      </w:r>
      <w:proofErr w:type="spellStart"/>
      <w:r w:rsidRPr="008145DD">
        <w:t>Ser.L.V</w:t>
      </w:r>
      <w:proofErr w:type="spellEnd"/>
      <w:r w:rsidRPr="008145DD">
        <w:t>/II.82doc.6 rev.1 (1992) (entered into force 16 November 1999) Art 5.</w:t>
      </w:r>
      <w:proofErr w:type="gramEnd"/>
      <w:r w:rsidRPr="008145DD">
        <w:t xml:space="preserve"> </w:t>
      </w:r>
    </w:p>
  </w:footnote>
  <w:footnote w:id="362">
    <w:p w14:paraId="278D3080" w14:textId="0FA97746" w:rsidR="00876AA0" w:rsidRPr="008145DD" w:rsidRDefault="00876AA0" w:rsidP="008145DD">
      <w:pPr>
        <w:pStyle w:val="RTFootnotetext"/>
      </w:pPr>
      <w:r w:rsidRPr="00FD6C1B">
        <w:rPr>
          <w:rStyle w:val="FootnoteReference"/>
          <w:vertAlign w:val="baseline"/>
        </w:rPr>
        <w:footnoteRef/>
      </w:r>
      <w:r w:rsidRPr="00FD6C1B">
        <w:t xml:space="preserve"> Human rights law recognizes that states have a legitimate interest in promoting public security, safety or order, public health, morals, or the protection of the rights and freedoms of others. </w:t>
      </w:r>
      <w:proofErr w:type="spellStart"/>
      <w:r w:rsidRPr="00FD6C1B">
        <w:t>Siracusa</w:t>
      </w:r>
      <w:proofErr w:type="spellEnd"/>
      <w:r w:rsidRPr="00FD6C1B">
        <w:t xml:space="preserve"> Principles</w:t>
      </w:r>
      <w:r w:rsidRPr="00680DF0">
        <w:t>, at paras 27-28.</w:t>
      </w:r>
      <w:r w:rsidRPr="008145DD">
        <w:t xml:space="preserve"> The </w:t>
      </w:r>
      <w:proofErr w:type="spellStart"/>
      <w:r w:rsidRPr="008145DD">
        <w:t>Siracusa</w:t>
      </w:r>
      <w:proofErr w:type="spellEnd"/>
      <w:r w:rsidRPr="008145DD">
        <w:t xml:space="preserve"> Principles affirm, however, that states’ ‘margin of discretion,’ as it relates to morality, does not apply to the rule of non-discrimination as defined under the ICCPR. See also, </w:t>
      </w:r>
      <w:r w:rsidR="001D35EE">
        <w:t xml:space="preserve">Human Rights Committee, </w:t>
      </w:r>
      <w:proofErr w:type="spellStart"/>
      <w:r w:rsidRPr="0045214F">
        <w:rPr>
          <w:i/>
        </w:rPr>
        <w:t>Toonen</w:t>
      </w:r>
      <w:proofErr w:type="spellEnd"/>
      <w:r w:rsidRPr="0045214F">
        <w:rPr>
          <w:i/>
        </w:rPr>
        <w:t xml:space="preserve"> v Australia</w:t>
      </w:r>
      <w:r w:rsidRPr="008145DD">
        <w:t>, UN Doc. CCPR/C/50/D/488/1992, para. 8.6</w:t>
      </w:r>
      <w:r w:rsidR="006E6E61">
        <w:t>, 1994</w:t>
      </w:r>
      <w:r w:rsidRPr="008145DD">
        <w:t xml:space="preserve"> (rejecting Tasmania’s argument that ‘moral issues’ were ‘exclusively a matter of domestic concern, as this would open the door to withdrawing from the [Human Rights] Committee’s scrutiny a potentially large number of statutes interfering with privacy’); </w:t>
      </w:r>
      <w:proofErr w:type="spellStart"/>
      <w:r w:rsidRPr="008145DD">
        <w:t>N</w:t>
      </w:r>
      <w:r w:rsidRPr="004D456B">
        <w:rPr>
          <w:i/>
        </w:rPr>
        <w:t>az</w:t>
      </w:r>
      <w:proofErr w:type="spellEnd"/>
      <w:r w:rsidRPr="004D456B">
        <w:rPr>
          <w:i/>
        </w:rPr>
        <w:t xml:space="preserve"> Foundation (India) Trust v Government of NCT of Delhi and Others</w:t>
      </w:r>
      <w:r w:rsidRPr="008145DD">
        <w:t>, Writ Petition (Civil) No. 7455/2001, Delhi High Court (2 July 2009), at para</w:t>
      </w:r>
      <w:r>
        <w:t xml:space="preserve">. </w:t>
      </w:r>
      <w:r w:rsidRPr="008145DD">
        <w:t xml:space="preserve">91; </w:t>
      </w:r>
      <w:r w:rsidRPr="004D456B">
        <w:rPr>
          <w:i/>
        </w:rPr>
        <w:t>National Coalition for Gay and Lesbian Equality v Minister of Justice,</w:t>
      </w:r>
      <w:r w:rsidRPr="008145DD">
        <w:t xml:space="preserve"> Constitutional Court of South Africa, CC 11/98, 9 October 1998, paras 79, 86; </w:t>
      </w:r>
      <w:r w:rsidRPr="004D456B">
        <w:rPr>
          <w:i/>
        </w:rPr>
        <w:t>Lawrence v Texas</w:t>
      </w:r>
      <w:r w:rsidRPr="008145DD">
        <w:t xml:space="preserve">, 539 US 558, 582 (2003) (J. O’Connor, Concurrence); </w:t>
      </w:r>
      <w:proofErr w:type="spellStart"/>
      <w:r w:rsidRPr="004D456B">
        <w:rPr>
          <w:i/>
        </w:rPr>
        <w:t>Ang</w:t>
      </w:r>
      <w:proofErr w:type="spellEnd"/>
      <w:r w:rsidRPr="004D456B">
        <w:rPr>
          <w:i/>
        </w:rPr>
        <w:t xml:space="preserve"> </w:t>
      </w:r>
      <w:proofErr w:type="spellStart"/>
      <w:r w:rsidRPr="004D456B">
        <w:rPr>
          <w:i/>
        </w:rPr>
        <w:t>Ladlad</w:t>
      </w:r>
      <w:proofErr w:type="spellEnd"/>
      <w:r w:rsidRPr="004D456B">
        <w:rPr>
          <w:i/>
        </w:rPr>
        <w:t xml:space="preserve"> LGBT Party v Commission on Elections</w:t>
      </w:r>
      <w:r w:rsidRPr="008145DD">
        <w:t>, Republic of the Philippines Supreme Court, 8 April 2010, 13.</w:t>
      </w:r>
    </w:p>
  </w:footnote>
  <w:footnote w:id="363">
    <w:p w14:paraId="6E8A671A" w14:textId="70A29486" w:rsidR="00876AA0" w:rsidRPr="008145DD" w:rsidRDefault="00876AA0" w:rsidP="008145DD">
      <w:pPr>
        <w:pStyle w:val="RTFootnotetext"/>
      </w:pPr>
      <w:r w:rsidRPr="008145DD">
        <w:rPr>
          <w:rStyle w:val="FootnoteReference"/>
          <w:vertAlign w:val="baseline"/>
        </w:rPr>
        <w:footnoteRef/>
      </w:r>
      <w:r w:rsidRPr="008145DD">
        <w:t xml:space="preserve"> Both the </w:t>
      </w:r>
      <w:proofErr w:type="spellStart"/>
      <w:r w:rsidRPr="008145DD">
        <w:t>Siracusa</w:t>
      </w:r>
      <w:proofErr w:type="spellEnd"/>
      <w:r w:rsidRPr="008145DD">
        <w:t xml:space="preserve"> Principles and the Limburg principles require that a state’s limitation or restriction on human rights be proportionate and no more restrictive than necessary.  Read in conjunction with the principle of ultima ratio, states should thus only resort to criminal law if no other less punitive measures suffice. See </w:t>
      </w:r>
      <w:proofErr w:type="spellStart"/>
      <w:r w:rsidRPr="008145DD">
        <w:t>Siracusa</w:t>
      </w:r>
      <w:proofErr w:type="spellEnd"/>
      <w:r w:rsidRPr="008145DD">
        <w:t xml:space="preserve"> Principles, at paras 10-14; Limburg Principles, at paras 60-61</w:t>
      </w:r>
      <w:r>
        <w:t>.</w:t>
      </w:r>
    </w:p>
  </w:footnote>
  <w:footnote w:id="364">
    <w:p w14:paraId="4EA25106" w14:textId="2828D656" w:rsidR="00876AA0" w:rsidRPr="00680DF0" w:rsidRDefault="00876AA0" w:rsidP="008145DD">
      <w:pPr>
        <w:pStyle w:val="RTFootnotetext"/>
      </w:pPr>
      <w:r w:rsidRPr="008145DD">
        <w:rPr>
          <w:rStyle w:val="FootnoteReference"/>
          <w:vertAlign w:val="baseline"/>
        </w:rPr>
        <w:footnoteRef/>
      </w:r>
      <w:r w:rsidRPr="008145DD">
        <w:t xml:space="preserve"> </w:t>
      </w:r>
      <w:r w:rsidRPr="00FD6C1B">
        <w:t xml:space="preserve">See </w:t>
      </w:r>
      <w:proofErr w:type="spellStart"/>
      <w:r w:rsidRPr="00FD6C1B">
        <w:t>Siracusa</w:t>
      </w:r>
      <w:proofErr w:type="spellEnd"/>
      <w:r w:rsidRPr="00FD6C1B">
        <w:t xml:space="preserve"> Principles, at paras. </w:t>
      </w:r>
      <w:proofErr w:type="gramStart"/>
      <w:r w:rsidRPr="00FD6C1B">
        <w:t>10(d) and 51; UN Human Rights Committee, Gener</w:t>
      </w:r>
      <w:r w:rsidRPr="00680DF0">
        <w:t>al Comment 31, UN Doc. CCPR/C/21/Rev.1/Add.13, 2004, para.</w:t>
      </w:r>
      <w:proofErr w:type="gramEnd"/>
      <w:r w:rsidRPr="00680DF0">
        <w:t xml:space="preserve"> 6; UN Committee on Economic, Social and Cultural Rights, </w:t>
      </w:r>
      <w:r w:rsidRPr="00BD7EF4">
        <w:t xml:space="preserve">General Comment 20: Non-discrimination in economic, social and cultural rights (art. 2, para. 2, of the International Covenant on Economic, Social and Cultural Rights), 2 July 2009, </w:t>
      </w:r>
      <w:r w:rsidRPr="00680DF0">
        <w:t>UN Doc. E/C.12/GC/20, para</w:t>
      </w:r>
      <w:r>
        <w:t>.</w:t>
      </w:r>
      <w:r w:rsidRPr="00680DF0">
        <w:t xml:space="preserve"> 13.</w:t>
      </w:r>
    </w:p>
  </w:footnote>
  <w:footnote w:id="365">
    <w:p w14:paraId="440B2154" w14:textId="564F1D8B" w:rsidR="00876AA0" w:rsidRPr="00F54248" w:rsidRDefault="00876AA0" w:rsidP="008145DD">
      <w:pPr>
        <w:pStyle w:val="RTFootnotetext"/>
        <w:rPr>
          <w:highlight w:val="yellow"/>
        </w:rPr>
      </w:pPr>
      <w:r w:rsidRPr="00FD6C1B">
        <w:rPr>
          <w:rStyle w:val="FootnoteReference"/>
          <w:vertAlign w:val="baseline"/>
        </w:rPr>
        <w:footnoteRef/>
      </w:r>
      <w:r w:rsidRPr="00FD6C1B">
        <w:t xml:space="preserve"> See </w:t>
      </w:r>
      <w:proofErr w:type="spellStart"/>
      <w:r w:rsidRPr="00FD6C1B">
        <w:t>Siracusa</w:t>
      </w:r>
      <w:proofErr w:type="spellEnd"/>
      <w:r w:rsidRPr="00FD6C1B">
        <w:t xml:space="preserve"> Principles, at paras. </w:t>
      </w:r>
      <w:proofErr w:type="gramStart"/>
      <w:r w:rsidRPr="00FD6C1B">
        <w:t>9, 28; Limburg Principles</w:t>
      </w:r>
      <w:r w:rsidRPr="00680DF0">
        <w:t>, at paras 35-41, 49.</w:t>
      </w:r>
      <w:proofErr w:type="gramEnd"/>
    </w:p>
  </w:footnote>
  <w:footnote w:id="366">
    <w:p w14:paraId="6C58367A" w14:textId="342D3577" w:rsidR="00876AA0" w:rsidRPr="008145DD" w:rsidRDefault="00876AA0" w:rsidP="008145DD">
      <w:pPr>
        <w:pStyle w:val="RTFootnotetext"/>
      </w:pPr>
      <w:r w:rsidRPr="008145DD">
        <w:rPr>
          <w:rStyle w:val="FootnoteReference"/>
          <w:vertAlign w:val="baseline"/>
        </w:rPr>
        <w:footnoteRef/>
      </w:r>
      <w:r w:rsidRPr="008145DD">
        <w:t xml:space="preserve"> ICCPR, Articles 2 and 26; and American Convention, Articles 1 and 24; International Covenant on Economic, Social and Cultural Rights Article 2, para 2; CESCR </w:t>
      </w:r>
      <w:r w:rsidRPr="00BD7EF4">
        <w:t>General Comment 20: Non-discrimination in economic, social and cultural rights (art. 2, para. 2, of the International Covenant on Economic, Social and</w:t>
      </w:r>
      <w:r>
        <w:t xml:space="preserve"> Cultural Rights), 2 July 2009, </w:t>
      </w:r>
      <w:r w:rsidRPr="008145DD">
        <w:t>UN Doc E/C.12/GC/20; CEDAW, article 2(f).</w:t>
      </w:r>
    </w:p>
  </w:footnote>
  <w:footnote w:id="367">
    <w:p w14:paraId="0F2EE327" w14:textId="77777777" w:rsidR="00876AA0" w:rsidRPr="008145DD" w:rsidRDefault="00876AA0" w:rsidP="008145DD">
      <w:pPr>
        <w:pStyle w:val="RTFootnotetext"/>
      </w:pPr>
      <w:r w:rsidRPr="008145DD">
        <w:rPr>
          <w:rStyle w:val="FootnoteReference"/>
          <w:vertAlign w:val="baseline"/>
        </w:rPr>
        <w:footnoteRef/>
      </w:r>
      <w:r w:rsidRPr="008145DD">
        <w:t xml:space="preserve"> See Charter of the United Nations, Articles 1(3) and 55; Universal Declaration of Human Rights, Article 2.</w:t>
      </w:r>
    </w:p>
  </w:footnote>
  <w:footnote w:id="368">
    <w:p w14:paraId="14CD1A53" w14:textId="61792621" w:rsidR="00876AA0" w:rsidRPr="008145DD" w:rsidRDefault="00876AA0" w:rsidP="008145DD">
      <w:pPr>
        <w:pStyle w:val="RTFootnotetext"/>
      </w:pPr>
      <w:r w:rsidRPr="008145DD">
        <w:rPr>
          <w:rStyle w:val="FootnoteReference"/>
          <w:vertAlign w:val="baseline"/>
        </w:rPr>
        <w:footnoteRef/>
      </w:r>
      <w:r w:rsidRPr="008145DD">
        <w:t xml:space="preserve"> See Universal Declaration of Human Rights, Article 2; ICCPR, Articles 2 and 26; ICESCR, Article 2; CERD, Article 5; CEDAW, Article 2; CRC, Article 2; C</w:t>
      </w:r>
      <w:r>
        <w:t xml:space="preserve">onvention on the </w:t>
      </w:r>
      <w:r w:rsidRPr="008145DD">
        <w:t>R</w:t>
      </w:r>
      <w:r>
        <w:t>ights of Persons with Disabilities (CRPD)</w:t>
      </w:r>
      <w:r w:rsidRPr="008145DD">
        <w:t>, Article 4, between them comprehensively prohibit discrimination on all grounds, including age, race, caste, ethnicity, disability, sexual orientation, gender identity, and marital status. The Convention on the Elimination of All Forms of Discrimination against Women (CEDAW) requires governments to address specifically discrimination against women and guarantee substantive gender equality in all areas.</w:t>
      </w:r>
    </w:p>
  </w:footnote>
  <w:footnote w:id="369">
    <w:p w14:paraId="1B779CC0" w14:textId="77777777" w:rsidR="00876AA0" w:rsidRPr="008145DD" w:rsidRDefault="00876AA0" w:rsidP="008145DD">
      <w:pPr>
        <w:pStyle w:val="RTFootnotetext"/>
      </w:pPr>
      <w:r w:rsidRPr="008145DD">
        <w:footnoteRef/>
      </w:r>
      <w:r w:rsidRPr="008145DD">
        <w:t xml:space="preserve"> Universal Declaration of Human Rights, Article 2.</w:t>
      </w:r>
    </w:p>
  </w:footnote>
  <w:footnote w:id="370">
    <w:p w14:paraId="58162608" w14:textId="18C53BB8" w:rsidR="00876AA0" w:rsidRPr="008145DD" w:rsidRDefault="00876AA0" w:rsidP="008145DD">
      <w:pPr>
        <w:pStyle w:val="RTFootnotetext"/>
      </w:pPr>
      <w:r w:rsidRPr="008145DD">
        <w:rPr>
          <w:rStyle w:val="FootnoteReference"/>
          <w:vertAlign w:val="baseline"/>
        </w:rPr>
        <w:footnoteRef/>
      </w:r>
      <w:r w:rsidRPr="008145DD">
        <w:t xml:space="preserve"> See CEDAW Committee, General Recommendation 24</w:t>
      </w:r>
      <w:r>
        <w:t xml:space="preserve"> (article 12: women and health)</w:t>
      </w:r>
      <w:r w:rsidRPr="008145DD">
        <w:t>, para 6, U.N. Doc. HRI/GEN/1/Rev.6 (1999) (stating that equality requires that biological differences between men and women be taken into account); also at para14 (criticizing laws that "criminalize medical procedures only needed by women and that punish women for undergoing those procedures."); See Amnesty International, The State as a Catalyst for Violence Against Women: Violence against women and torture or other ill-treatment in the context of sexual and reproductive health in Latin America and the Caribbean (Index: AMR 01/3388/2016), p</w:t>
      </w:r>
      <w:r>
        <w:t xml:space="preserve">p. </w:t>
      </w:r>
      <w:r w:rsidRPr="008145DD">
        <w:t>58-59.</w:t>
      </w:r>
    </w:p>
  </w:footnote>
  <w:footnote w:id="371">
    <w:p w14:paraId="64BDE8D4" w14:textId="77777777" w:rsidR="00876AA0" w:rsidRPr="008145DD" w:rsidRDefault="00876AA0" w:rsidP="008145DD">
      <w:pPr>
        <w:pStyle w:val="RTFootnotetext"/>
      </w:pPr>
      <w:r w:rsidRPr="008145DD">
        <w:rPr>
          <w:rStyle w:val="FootnoteReference"/>
          <w:vertAlign w:val="baseline"/>
        </w:rPr>
        <w:footnoteRef/>
      </w:r>
      <w:r w:rsidRPr="008145DD">
        <w:t xml:space="preserve"> CEDAW General Recommendation 33, para. 48.</w:t>
      </w:r>
    </w:p>
  </w:footnote>
  <w:footnote w:id="372">
    <w:p w14:paraId="649A0ABE" w14:textId="6190C7E6" w:rsidR="00876AA0" w:rsidRPr="008145DD" w:rsidRDefault="00876AA0" w:rsidP="008145DD">
      <w:pPr>
        <w:pStyle w:val="RTFootnotetext"/>
      </w:pPr>
      <w:r w:rsidRPr="008145DD">
        <w:rPr>
          <w:rStyle w:val="FootnoteReference"/>
          <w:vertAlign w:val="baseline"/>
        </w:rPr>
        <w:footnoteRef/>
      </w:r>
      <w:r w:rsidRPr="008145DD">
        <w:t xml:space="preserve"> Tennessee Code Annotated 39-13-107. Fetus as victim</w:t>
      </w:r>
      <w:r>
        <w:t>,</w:t>
      </w:r>
      <w:r w:rsidRPr="008145DD">
        <w:t xml:space="preserve"> </w:t>
      </w:r>
      <w:hyperlink r:id="rId74" w:history="1">
        <w:r w:rsidRPr="008145DD">
          <w:rPr>
            <w:rStyle w:val="Hyperlink"/>
            <w:color w:val="000000" w:themeColor="text1"/>
            <w:u w:val="none"/>
          </w:rPr>
          <w:t>https://apps.tn.gov/carat/pdf/tnchild-39-13-107.pdf</w:t>
        </w:r>
      </w:hyperlink>
      <w:r w:rsidRPr="008145DD">
        <w:t xml:space="preserve"> </w:t>
      </w:r>
    </w:p>
  </w:footnote>
  <w:footnote w:id="373">
    <w:p w14:paraId="049B134A" w14:textId="16C5CD45" w:rsidR="00876AA0" w:rsidRPr="008145DD" w:rsidRDefault="00876AA0" w:rsidP="008145DD">
      <w:pPr>
        <w:pStyle w:val="RTFootnotetext"/>
      </w:pPr>
      <w:r w:rsidRPr="008145DD">
        <w:rPr>
          <w:rStyle w:val="FootnoteReference"/>
          <w:vertAlign w:val="baseline"/>
        </w:rPr>
        <w:footnoteRef/>
      </w:r>
      <w:r w:rsidRPr="008145DD">
        <w:t xml:space="preserve"> See National Institute on Alcohol Abuse and Alcoholism, Alcohol Policy Information System, “Pregnancy and Alcohol: Civil Commitment”, </w:t>
      </w:r>
      <w:hyperlink r:id="rId75" w:history="1">
        <w:r w:rsidRPr="008145DD">
          <w:rPr>
            <w:rStyle w:val="Hyperlink"/>
            <w:color w:val="000000" w:themeColor="text1"/>
            <w:u w:val="none"/>
          </w:rPr>
          <w:t>www.alcoholpolicy.niaaa.nih.gov/Alcohol_and_Pregnancy_Civil_Commitment.html?tab=specificDate&amp;date=1%2f1%2f2015&amp;dateStart=1%2f1%2f2015&amp;dateEnd=1%2f1%2f2015&amp;onlyChanges=False</w:t>
        </w:r>
      </w:hyperlink>
      <w:r w:rsidRPr="008145DD">
        <w:t xml:space="preserve"> </w:t>
      </w:r>
    </w:p>
  </w:footnote>
  <w:footnote w:id="374">
    <w:p w14:paraId="4C3F9F73" w14:textId="5E14DF51" w:rsidR="00876AA0" w:rsidRPr="008D3C6D" w:rsidRDefault="00876AA0" w:rsidP="008145DD">
      <w:pPr>
        <w:pStyle w:val="RTFootnotetext"/>
      </w:pPr>
      <w:r w:rsidRPr="008145DD">
        <w:rPr>
          <w:rStyle w:val="FootnoteReference"/>
          <w:vertAlign w:val="baseline"/>
        </w:rPr>
        <w:footnoteRef/>
      </w:r>
      <w:r w:rsidRPr="008145DD">
        <w:t xml:space="preserve"> US Government Child Welfare Information Gateway: Parental Drug Use as Child Abuse, </w:t>
      </w:r>
      <w:r w:rsidRPr="00597C6F">
        <w:t>www.childwelfare.gov/systemwide/laws_policies/statutes/drugexposed.pdf</w:t>
      </w:r>
      <w:r w:rsidRPr="008D3C6D">
        <w:t xml:space="preserve"> </w:t>
      </w:r>
    </w:p>
  </w:footnote>
  <w:footnote w:id="375">
    <w:p w14:paraId="3FD4E701" w14:textId="77777777" w:rsidR="00876AA0" w:rsidRPr="008145DD" w:rsidRDefault="00876AA0" w:rsidP="008145DD">
      <w:pPr>
        <w:pStyle w:val="RTFootnotetext"/>
      </w:pPr>
      <w:r w:rsidRPr="008145DD">
        <w:rPr>
          <w:rStyle w:val="FootnoteReference"/>
          <w:vertAlign w:val="baseline"/>
        </w:rPr>
        <w:footnoteRef/>
      </w:r>
      <w:r w:rsidRPr="008145DD">
        <w:t xml:space="preserve"> See for example, Committee on Economic, Social and Cultural Rights, General Comment 14, The right to the highest attainable standard of health, E/C.12/2000/4, para. 14.  </w:t>
      </w:r>
    </w:p>
  </w:footnote>
  <w:footnote w:id="376">
    <w:p w14:paraId="0B9AD9BB" w14:textId="7CB50923" w:rsidR="00876AA0" w:rsidRPr="008145DD" w:rsidRDefault="00876AA0" w:rsidP="008145DD">
      <w:pPr>
        <w:pStyle w:val="RTFootnotetext"/>
      </w:pPr>
      <w:r w:rsidRPr="008145DD">
        <w:rPr>
          <w:rStyle w:val="FootnoteReference"/>
          <w:vertAlign w:val="baseline"/>
        </w:rPr>
        <w:footnoteRef/>
      </w:r>
      <w:r w:rsidRPr="008145DD">
        <w:t xml:space="preserve"> According to a study of about 3,100 cases conducted by </w:t>
      </w:r>
      <w:proofErr w:type="spellStart"/>
      <w:r w:rsidRPr="008145DD">
        <w:t>ProPublica</w:t>
      </w:r>
      <w:proofErr w:type="spellEnd"/>
      <w:r w:rsidRPr="008145DD">
        <w:t xml:space="preserve"> and AL.com, more women have been charged than men even when looking beyond pregnancy prosecutions to include cases involving children</w:t>
      </w:r>
      <w:r>
        <w:t>,</w:t>
      </w:r>
      <w:r w:rsidRPr="008145DD">
        <w:t xml:space="preserve"> Pro </w:t>
      </w:r>
      <w:proofErr w:type="spellStart"/>
      <w:r w:rsidRPr="008145DD">
        <w:t>Publica</w:t>
      </w:r>
      <w:proofErr w:type="spellEnd"/>
      <w:r w:rsidRPr="008145DD">
        <w:t xml:space="preserve">, </w:t>
      </w:r>
      <w:r>
        <w:t>‘</w:t>
      </w:r>
      <w:r w:rsidRPr="008145DD">
        <w:t>How We Identified Alabama Pregnancy Prosecutions</w:t>
      </w:r>
      <w:r>
        <w:t>’,</w:t>
      </w:r>
      <w:r w:rsidRPr="008145DD">
        <w:t xml:space="preserve"> www.propublica.org/article/how-we-identified-alabama-pregnancy-prosecutions </w:t>
      </w:r>
    </w:p>
  </w:footnote>
  <w:footnote w:id="377">
    <w:p w14:paraId="4E9F8A83" w14:textId="7F508A34" w:rsidR="00876AA0" w:rsidRPr="004D456B" w:rsidRDefault="00876AA0" w:rsidP="008145DD">
      <w:pPr>
        <w:pStyle w:val="RTFootnotetext"/>
        <w:rPr>
          <w:lang w:val="es-US"/>
        </w:rPr>
      </w:pPr>
      <w:r w:rsidRPr="008145DD">
        <w:rPr>
          <w:rStyle w:val="FootnoteReference"/>
          <w:vertAlign w:val="baseline"/>
        </w:rPr>
        <w:footnoteRef/>
      </w:r>
      <w:r w:rsidRPr="008145DD">
        <w:t xml:space="preserve"> See CEDAW, General Recommendation No. 28</w:t>
      </w:r>
      <w:r>
        <w:t xml:space="preserve"> on the Core Obligations of States Parties under Article 2</w:t>
      </w:r>
      <w:r w:rsidRPr="008145DD">
        <w:t xml:space="preserve">, </w:t>
      </w:r>
      <w:r>
        <w:t xml:space="preserve">19 October 2010, </w:t>
      </w:r>
      <w:r w:rsidRPr="008145DD">
        <w:t xml:space="preserve">U.N. Doc. </w:t>
      </w:r>
      <w:r w:rsidRPr="004D456B">
        <w:rPr>
          <w:lang w:val="es-US"/>
        </w:rPr>
        <w:t>CEDAW/C/2010/47/GC.2, 2010, para 5.</w:t>
      </w:r>
    </w:p>
  </w:footnote>
  <w:footnote w:id="378">
    <w:p w14:paraId="2B9002D6" w14:textId="4478D9C3" w:rsidR="00876AA0" w:rsidRPr="004D456B" w:rsidRDefault="00876AA0">
      <w:pPr>
        <w:pStyle w:val="FootnoteText"/>
        <w:rPr>
          <w:lang w:val="es-US"/>
        </w:rPr>
      </w:pPr>
      <w:r w:rsidRPr="00D32413">
        <w:rPr>
          <w:rStyle w:val="FootnoteReference"/>
          <w:vertAlign w:val="baseline"/>
        </w:rPr>
        <w:footnoteRef/>
      </w:r>
      <w:r w:rsidRPr="004D456B">
        <w:rPr>
          <w:lang w:val="es-US"/>
        </w:rPr>
        <w:t xml:space="preserve"> CEDAW, General </w:t>
      </w:r>
      <w:proofErr w:type="spellStart"/>
      <w:r w:rsidRPr="004D456B">
        <w:rPr>
          <w:lang w:val="es-US"/>
        </w:rPr>
        <w:t>Recommendation</w:t>
      </w:r>
      <w:proofErr w:type="spellEnd"/>
      <w:r w:rsidRPr="004D456B">
        <w:rPr>
          <w:lang w:val="es-US"/>
        </w:rPr>
        <w:t xml:space="preserve"> 28, para. 16.</w:t>
      </w:r>
    </w:p>
  </w:footnote>
  <w:footnote w:id="379">
    <w:p w14:paraId="5991AA8A" w14:textId="4C9D9925" w:rsidR="00876AA0" w:rsidRPr="008145DD" w:rsidRDefault="00876AA0" w:rsidP="008145DD">
      <w:pPr>
        <w:pStyle w:val="RTFootnotetext"/>
      </w:pPr>
      <w:r w:rsidRPr="008145DD">
        <w:rPr>
          <w:rStyle w:val="FootnoteReference"/>
          <w:vertAlign w:val="baseline"/>
        </w:rPr>
        <w:footnoteRef/>
      </w:r>
      <w:r w:rsidRPr="004D456B">
        <w:rPr>
          <w:lang w:val="es-US"/>
        </w:rPr>
        <w:t xml:space="preserve"> CESCR, General </w:t>
      </w:r>
      <w:proofErr w:type="spellStart"/>
      <w:r w:rsidRPr="004D456B">
        <w:rPr>
          <w:lang w:val="es-US"/>
        </w:rPr>
        <w:t>Comment</w:t>
      </w:r>
      <w:proofErr w:type="spellEnd"/>
      <w:r w:rsidRPr="004D456B">
        <w:rPr>
          <w:lang w:val="es-US"/>
        </w:rPr>
        <w:t xml:space="preserve"> 14, para. </w:t>
      </w:r>
      <w:r w:rsidRPr="008145DD">
        <w:t>18; CESCR</w:t>
      </w:r>
      <w:r>
        <w:t>,</w:t>
      </w:r>
      <w:r w:rsidRPr="008145DD">
        <w:t xml:space="preserve"> General Comment 20</w:t>
      </w:r>
      <w:r>
        <w:t xml:space="preserve">: </w:t>
      </w:r>
      <w:r w:rsidRPr="008145DD">
        <w:t>Non-discrimination in economic, social and cultural rights (art. 2, para. 2, of the International Covenant on Economic, Social and Cultural Rights)</w:t>
      </w:r>
      <w:r>
        <w:t>, 2 July 2009, UN Doc. E/C.12/GC/20</w:t>
      </w:r>
      <w:r w:rsidRPr="008145DD">
        <w:t>.</w:t>
      </w:r>
    </w:p>
  </w:footnote>
  <w:footnote w:id="380">
    <w:p w14:paraId="44486000" w14:textId="5508F735" w:rsidR="00876AA0" w:rsidRPr="008145DD" w:rsidRDefault="00876AA0" w:rsidP="008145DD">
      <w:pPr>
        <w:pStyle w:val="RTFootnotetext"/>
      </w:pPr>
      <w:r w:rsidRPr="008145DD">
        <w:rPr>
          <w:rStyle w:val="FootnoteReference"/>
          <w:vertAlign w:val="baseline"/>
        </w:rPr>
        <w:footnoteRef/>
      </w:r>
      <w:r w:rsidRPr="008145DD">
        <w:t xml:space="preserve"> CCPR General Comment No.18: Non-discrimination, </w:t>
      </w:r>
      <w:r>
        <w:t xml:space="preserve">10 </w:t>
      </w:r>
      <w:r w:rsidRPr="008145DD">
        <w:t>November, 1989, HRI/GEN/1/Rev.6 at p.</w:t>
      </w:r>
      <w:r>
        <w:t xml:space="preserve"> </w:t>
      </w:r>
      <w:r w:rsidRPr="008145DD">
        <w:t>146, para 7.</w:t>
      </w:r>
    </w:p>
  </w:footnote>
  <w:footnote w:id="381">
    <w:p w14:paraId="2797C11C" w14:textId="482C887D" w:rsidR="00876AA0" w:rsidRPr="008145DD" w:rsidRDefault="00876AA0" w:rsidP="008145DD">
      <w:pPr>
        <w:pStyle w:val="RTFootnotetext"/>
      </w:pPr>
      <w:r w:rsidRPr="008145DD">
        <w:rPr>
          <w:rStyle w:val="FootnoteReference"/>
          <w:vertAlign w:val="baseline"/>
        </w:rPr>
        <w:footnoteRef/>
      </w:r>
      <w:r w:rsidRPr="008145DD">
        <w:t xml:space="preserve"> See </w:t>
      </w:r>
      <w:proofErr w:type="spellStart"/>
      <w:r w:rsidRPr="00FF4C1E">
        <w:rPr>
          <w:i/>
        </w:rPr>
        <w:t>Nadege</w:t>
      </w:r>
      <w:proofErr w:type="spellEnd"/>
      <w:r w:rsidRPr="00FF4C1E">
        <w:rPr>
          <w:i/>
        </w:rPr>
        <w:t xml:space="preserve"> </w:t>
      </w:r>
      <w:proofErr w:type="spellStart"/>
      <w:r w:rsidRPr="00FF4C1E">
        <w:rPr>
          <w:i/>
        </w:rPr>
        <w:t>Dorzema</w:t>
      </w:r>
      <w:proofErr w:type="spellEnd"/>
      <w:r w:rsidRPr="00FF4C1E">
        <w:rPr>
          <w:i/>
        </w:rPr>
        <w:t xml:space="preserve"> and others v Dominican Republic</w:t>
      </w:r>
      <w:r>
        <w:t>, Inter-American Court of Human Rights</w:t>
      </w:r>
      <w:r w:rsidRPr="008145DD">
        <w:t>,</w:t>
      </w:r>
      <w:r>
        <w:t xml:space="preserve"> 24 October 2012, OEA/</w:t>
      </w:r>
      <w:proofErr w:type="spellStart"/>
      <w:r>
        <w:t>Ser.L</w:t>
      </w:r>
      <w:proofErr w:type="spellEnd"/>
      <w:r>
        <w:t>/V/II.130 Doc. 22, rev. 1,</w:t>
      </w:r>
      <w:r w:rsidRPr="008145DD">
        <w:t xml:space="preserve"> para. 235</w:t>
      </w:r>
      <w:r>
        <w:t>.</w:t>
      </w:r>
    </w:p>
  </w:footnote>
  <w:footnote w:id="382">
    <w:p w14:paraId="03D8123D" w14:textId="3231BFD8" w:rsidR="00876AA0" w:rsidRPr="008145DD" w:rsidRDefault="00876AA0" w:rsidP="008145DD">
      <w:pPr>
        <w:pStyle w:val="RTFootnotetext"/>
      </w:pPr>
      <w:r w:rsidRPr="008145DD">
        <w:rPr>
          <w:rStyle w:val="FootnoteReference"/>
          <w:vertAlign w:val="baseline"/>
        </w:rPr>
        <w:footnoteRef/>
      </w:r>
      <w:r w:rsidRPr="008145DD">
        <w:t xml:space="preserve"> CEDAW General </w:t>
      </w:r>
      <w:r>
        <w:t>R</w:t>
      </w:r>
      <w:r w:rsidRPr="008145DD">
        <w:t>ecommendation No. 25</w:t>
      </w:r>
      <w:r>
        <w:t xml:space="preserve">, on </w:t>
      </w:r>
      <w:r w:rsidRPr="008145DD">
        <w:t>article 4, para</w:t>
      </w:r>
      <w:r>
        <w:t>.</w:t>
      </w:r>
      <w:r w:rsidRPr="008145DD">
        <w:t xml:space="preserve"> </w:t>
      </w:r>
      <w:proofErr w:type="gramStart"/>
      <w:r w:rsidRPr="008145DD">
        <w:t>1, of the Convention on the Elimination of All Forms of Discrimination against Women, on temporary special measures</w:t>
      </w:r>
      <w:r>
        <w:t>.</w:t>
      </w:r>
      <w:proofErr w:type="gramEnd"/>
    </w:p>
  </w:footnote>
  <w:footnote w:id="383">
    <w:p w14:paraId="13405114" w14:textId="3F663B77" w:rsidR="00876AA0" w:rsidRPr="008145DD" w:rsidRDefault="00876AA0" w:rsidP="008145DD">
      <w:pPr>
        <w:pStyle w:val="RTFootnotetext"/>
      </w:pPr>
      <w:r w:rsidRPr="008145DD">
        <w:rPr>
          <w:rStyle w:val="FootnoteReference"/>
          <w:vertAlign w:val="baseline"/>
        </w:rPr>
        <w:footnoteRef/>
      </w:r>
      <w:r w:rsidRPr="008145DD">
        <w:t xml:space="preserve"> </w:t>
      </w:r>
      <w:proofErr w:type="gramStart"/>
      <w:r w:rsidRPr="008145DD">
        <w:t>CESCR, General Comment 20, Non-discrimination in economic, social and cultural rights (art. 2, para. 2, of the International Covenant on Economic, Social and Cultural Rights),</w:t>
      </w:r>
      <w:r w:rsidRPr="00BD7EF4">
        <w:t xml:space="preserve"> 2 July 2009, UN Doc. E/C.12/GC/20.</w:t>
      </w:r>
      <w:proofErr w:type="gramEnd"/>
      <w:r>
        <w:t xml:space="preserve"> </w:t>
      </w:r>
      <w:proofErr w:type="gramStart"/>
      <w:r w:rsidRPr="008145DD">
        <w:t>para</w:t>
      </w:r>
      <w:proofErr w:type="gramEnd"/>
      <w:r w:rsidRPr="008145DD">
        <w:t xml:space="preserve"> 39. </w:t>
      </w:r>
    </w:p>
  </w:footnote>
  <w:footnote w:id="384">
    <w:p w14:paraId="25733878" w14:textId="50EE6527" w:rsidR="00876AA0" w:rsidRPr="008145DD" w:rsidRDefault="00876AA0" w:rsidP="008145DD">
      <w:pPr>
        <w:pStyle w:val="RTFootnotetext"/>
      </w:pPr>
      <w:r w:rsidRPr="008145DD">
        <w:rPr>
          <w:rStyle w:val="FootnoteReference"/>
          <w:vertAlign w:val="baseline"/>
        </w:rPr>
        <w:footnoteRef/>
      </w:r>
      <w:r w:rsidRPr="008145DD">
        <w:t xml:space="preserve"> International Convention on the Elimination of All Forms if Racial Discrimination, Concluding observations on the combined seventh to ninth periodic reports to the United States of America, 25 September 2014, UN Doc. CERD/C/USA/CO/7-9 at para</w:t>
      </w:r>
      <w:r>
        <w:t>.</w:t>
      </w:r>
      <w:r w:rsidRPr="008145DD">
        <w:t xml:space="preserve"> 15; </w:t>
      </w:r>
      <w:r>
        <w:t>f</w:t>
      </w:r>
      <w:r w:rsidRPr="008145DD">
        <w:t xml:space="preserve">or more on preventable maternal death and racial discrimination see: </w:t>
      </w:r>
      <w:proofErr w:type="spellStart"/>
      <w:r w:rsidRPr="00FF4C1E">
        <w:rPr>
          <w:i/>
        </w:rPr>
        <w:t>Alyne</w:t>
      </w:r>
      <w:proofErr w:type="spellEnd"/>
      <w:r w:rsidRPr="00FF4C1E">
        <w:rPr>
          <w:i/>
        </w:rPr>
        <w:t xml:space="preserve"> da Silva Pimentel v Brazil</w:t>
      </w:r>
      <w:r w:rsidRPr="008145DD">
        <w:t xml:space="preserve">, Committee on the Elimination of Discrimination against Women, Communication No. 17/2008, </w:t>
      </w:r>
      <w:r>
        <w:t xml:space="preserve">10 </w:t>
      </w:r>
      <w:r w:rsidRPr="008145DD">
        <w:t>August 2011, CEDAW/C/49/D/17/2008.</w:t>
      </w:r>
    </w:p>
  </w:footnote>
  <w:footnote w:id="385">
    <w:p w14:paraId="5E1A347F" w14:textId="77777777" w:rsidR="00876AA0" w:rsidRPr="008145DD" w:rsidRDefault="00876AA0" w:rsidP="008145DD">
      <w:pPr>
        <w:pStyle w:val="RTFootnotetext"/>
      </w:pPr>
      <w:r w:rsidRPr="008145DD">
        <w:rPr>
          <w:rStyle w:val="FootnoteReference"/>
          <w:vertAlign w:val="baseline"/>
        </w:rPr>
        <w:footnoteRef/>
      </w:r>
      <w:r w:rsidRPr="008145DD">
        <w:t xml:space="preserve"> </w:t>
      </w:r>
      <w:proofErr w:type="gramStart"/>
      <w:r w:rsidRPr="008145DD">
        <w:t>International Covenant on Civil and Political Rights, Art.</w:t>
      </w:r>
      <w:proofErr w:type="gramEnd"/>
      <w:r w:rsidRPr="008145DD">
        <w:t xml:space="preserve"> 26.</w:t>
      </w:r>
    </w:p>
  </w:footnote>
  <w:footnote w:id="386">
    <w:p w14:paraId="2E5CCD52" w14:textId="34910B19" w:rsidR="00876AA0" w:rsidRDefault="00876AA0" w:rsidP="008145DD">
      <w:pPr>
        <w:pStyle w:val="RTFootnotetext"/>
      </w:pPr>
      <w:r w:rsidRPr="008145DD">
        <w:rPr>
          <w:rStyle w:val="FootnoteReference"/>
          <w:vertAlign w:val="baseline"/>
        </w:rPr>
        <w:footnoteRef/>
      </w:r>
      <w:r w:rsidRPr="008145DD">
        <w:t xml:space="preserve"> I</w:t>
      </w:r>
      <w:r>
        <w:t xml:space="preserve">nternational Convention on the Elimination of All Forms of Racial Discrimination </w:t>
      </w:r>
      <w:r w:rsidRPr="008145DD">
        <w:t>Article 5(e</w:t>
      </w:r>
      <w:proofErr w:type="gramStart"/>
      <w:r w:rsidRPr="008145DD">
        <w:t>)(</w:t>
      </w:r>
      <w:proofErr w:type="gramEnd"/>
      <w:r w:rsidRPr="008145DD">
        <w:t xml:space="preserve">iv).   </w:t>
      </w:r>
    </w:p>
  </w:footnote>
  <w:footnote w:id="387">
    <w:p w14:paraId="393D8CD2" w14:textId="44F4FA66" w:rsidR="00876AA0" w:rsidRPr="008145DD" w:rsidRDefault="00876AA0" w:rsidP="008145DD">
      <w:pPr>
        <w:pStyle w:val="RTFootnotetext"/>
      </w:pPr>
      <w:r w:rsidRPr="008145DD">
        <w:rPr>
          <w:rStyle w:val="FootnoteReference"/>
          <w:vertAlign w:val="baseline"/>
        </w:rPr>
        <w:footnoteRef/>
      </w:r>
      <w:r w:rsidRPr="008145DD">
        <w:t xml:space="preserve"> M</w:t>
      </w:r>
      <w:r>
        <w:t>.</w:t>
      </w:r>
      <w:r w:rsidRPr="008145DD">
        <w:t xml:space="preserve"> Goodwin, </w:t>
      </w:r>
      <w:r>
        <w:t>‘</w:t>
      </w:r>
      <w:r w:rsidRPr="008145DD">
        <w:t>Fetal Protection Laws: Moral Panic and the New Constitutional Battlefront</w:t>
      </w:r>
      <w:r>
        <w:t>’</w:t>
      </w:r>
      <w:r w:rsidRPr="008145DD">
        <w:t>, California Law Review, Vol 102: Number 4, August 2014.</w:t>
      </w:r>
    </w:p>
  </w:footnote>
  <w:footnote w:id="388">
    <w:p w14:paraId="09501974" w14:textId="0536E4B7" w:rsidR="00876AA0" w:rsidRPr="008145DD" w:rsidRDefault="00876AA0" w:rsidP="008145DD">
      <w:pPr>
        <w:pStyle w:val="RTFootnotetext"/>
      </w:pPr>
      <w:r w:rsidRPr="008145DD">
        <w:rPr>
          <w:rStyle w:val="FootnoteReference"/>
          <w:vertAlign w:val="baseline"/>
        </w:rPr>
        <w:footnoteRef/>
      </w:r>
      <w:r w:rsidRPr="008145DD">
        <w:t xml:space="preserve"> US Government Child Welfare Information Gateway: Parental Drug Use as Child Abuse, </w:t>
      </w:r>
      <w:hyperlink r:id="rId76" w:history="1">
        <w:r w:rsidRPr="008145DD">
          <w:rPr>
            <w:rStyle w:val="Hyperlink"/>
            <w:color w:val="000000" w:themeColor="text1"/>
            <w:u w:val="none"/>
          </w:rPr>
          <w:t>www.childwelfare.gov/systemwide/laws_policies/statutes/drugexposed.pdf</w:t>
        </w:r>
      </w:hyperlink>
      <w:r w:rsidRPr="008145DD">
        <w:t xml:space="preserve"> </w:t>
      </w:r>
    </w:p>
  </w:footnote>
  <w:footnote w:id="389">
    <w:p w14:paraId="678EE9C2" w14:textId="77777777" w:rsidR="00876AA0" w:rsidRPr="008145DD" w:rsidRDefault="00876AA0" w:rsidP="008145DD">
      <w:pPr>
        <w:pStyle w:val="RTFootnotetext"/>
      </w:pPr>
      <w:r w:rsidRPr="008145DD">
        <w:rPr>
          <w:rStyle w:val="FootnoteReference"/>
          <w:vertAlign w:val="baseline"/>
        </w:rPr>
        <w:footnoteRef/>
      </w:r>
      <w:r w:rsidRPr="008145DD">
        <w:t xml:space="preserve"> </w:t>
      </w:r>
      <w:proofErr w:type="gramStart"/>
      <w:r w:rsidRPr="008145DD">
        <w:t>Report of the Special Rapporteur on the right of everyone to the enjoyment of the highest attainable standard of physical and mental health, 6 August 2010, U.N. Doc.</w:t>
      </w:r>
      <w:proofErr w:type="gramEnd"/>
      <w:r w:rsidRPr="008145DD">
        <w:t xml:space="preserve"> </w:t>
      </w:r>
      <w:proofErr w:type="gramStart"/>
      <w:r w:rsidRPr="008145DD">
        <w:t>A/65/255, para.</w:t>
      </w:r>
      <w:proofErr w:type="gramEnd"/>
      <w:r w:rsidRPr="008145DD">
        <w:t xml:space="preserve"> 24.</w:t>
      </w:r>
    </w:p>
  </w:footnote>
  <w:footnote w:id="390">
    <w:p w14:paraId="70AAB0B5" w14:textId="77777777" w:rsidR="00876AA0" w:rsidRPr="008145DD" w:rsidRDefault="00876AA0" w:rsidP="008145DD">
      <w:pPr>
        <w:pStyle w:val="RTFootnotetext"/>
      </w:pPr>
      <w:r w:rsidRPr="008145DD">
        <w:rPr>
          <w:rStyle w:val="FootnoteReference"/>
          <w:vertAlign w:val="baseline"/>
        </w:rPr>
        <w:footnoteRef/>
      </w:r>
      <w:r w:rsidRPr="008145DD">
        <w:t xml:space="preserve"> </w:t>
      </w:r>
      <w:proofErr w:type="gramStart"/>
      <w:r w:rsidRPr="008145DD">
        <w:t>Report of the Special Rapporteur on the right of everyone to the enjoyment of the highest attainable standard of physical and mental health, 6 August 2010, U.N. Doc.</w:t>
      </w:r>
      <w:proofErr w:type="gramEnd"/>
      <w:r w:rsidRPr="008145DD">
        <w:t xml:space="preserve"> </w:t>
      </w:r>
      <w:proofErr w:type="gramStart"/>
      <w:r w:rsidRPr="008145DD">
        <w:t>A/65/255, para.</w:t>
      </w:r>
      <w:proofErr w:type="gramEnd"/>
      <w:r w:rsidRPr="008145DD">
        <w:t xml:space="preserve"> 24.</w:t>
      </w:r>
    </w:p>
  </w:footnote>
  <w:footnote w:id="391">
    <w:p w14:paraId="5F4A0BE9" w14:textId="1109F552" w:rsidR="00876AA0" w:rsidRPr="008145DD" w:rsidRDefault="00876AA0" w:rsidP="008145DD">
      <w:pPr>
        <w:pStyle w:val="RTFootnotetext"/>
      </w:pPr>
      <w:r w:rsidRPr="008145DD">
        <w:rPr>
          <w:rStyle w:val="FootnoteReference"/>
          <w:vertAlign w:val="baseline"/>
        </w:rPr>
        <w:footnoteRef/>
      </w:r>
      <w:r w:rsidRPr="008145DD">
        <w:t xml:space="preserve"> </w:t>
      </w:r>
      <w:proofErr w:type="gramStart"/>
      <w:r w:rsidRPr="008145DD">
        <w:t>Report of the Working Group on the issue of discrimination against women in law and practice</w:t>
      </w:r>
      <w:r>
        <w:t>,</w:t>
      </w:r>
      <w:r w:rsidRPr="008145DD">
        <w:t xml:space="preserve"> 8 April 2016</w:t>
      </w:r>
      <w:r>
        <w:t>,</w:t>
      </w:r>
      <w:r w:rsidRPr="008145DD">
        <w:t xml:space="preserve"> UN Doc.</w:t>
      </w:r>
      <w:proofErr w:type="gramEnd"/>
      <w:r w:rsidRPr="008145DD">
        <w:t xml:space="preserve"> </w:t>
      </w:r>
      <w:proofErr w:type="gramStart"/>
      <w:r w:rsidRPr="008145DD">
        <w:t>A/HRC/32/44</w:t>
      </w:r>
      <w:r>
        <w:t>,</w:t>
      </w:r>
      <w:r w:rsidRPr="008145DD">
        <w:t xml:space="preserve"> </w:t>
      </w:r>
      <w:r>
        <w:t>p</w:t>
      </w:r>
      <w:r w:rsidRPr="008145DD">
        <w:t>aras 42-60 and 96</w:t>
      </w:r>
      <w:r>
        <w:t>.</w:t>
      </w:r>
      <w:proofErr w:type="gramEnd"/>
    </w:p>
  </w:footnote>
  <w:footnote w:id="392">
    <w:p w14:paraId="36B7C2BC" w14:textId="20B40207" w:rsidR="00876AA0" w:rsidRPr="008145DD" w:rsidRDefault="00876AA0" w:rsidP="008145DD">
      <w:pPr>
        <w:pStyle w:val="RTFootnotetext"/>
      </w:pPr>
      <w:r w:rsidRPr="008145DD">
        <w:rPr>
          <w:rStyle w:val="FootnoteReference"/>
          <w:vertAlign w:val="baseline"/>
        </w:rPr>
        <w:footnoteRef/>
      </w:r>
      <w:r w:rsidRPr="008145DD">
        <w:t xml:space="preserve"> </w:t>
      </w:r>
      <w:proofErr w:type="gramStart"/>
      <w:r w:rsidRPr="008145DD">
        <w:t>Report of the Special Rapporteur on torture and other cruel, inhuman or degrading treatment or punishment, 1 February 2013, U.N. Doc A/HRC/22/53</w:t>
      </w:r>
      <w:r>
        <w:t>.</w:t>
      </w:r>
      <w:proofErr w:type="gramEnd"/>
    </w:p>
  </w:footnote>
  <w:footnote w:id="393">
    <w:p w14:paraId="42B67F03" w14:textId="46150BE7" w:rsidR="00876AA0" w:rsidRPr="008145DD" w:rsidRDefault="00876AA0" w:rsidP="008145DD">
      <w:pPr>
        <w:pStyle w:val="RTFootnotetext"/>
      </w:pPr>
      <w:r w:rsidRPr="008145DD">
        <w:rPr>
          <w:rStyle w:val="FootnoteReference"/>
          <w:vertAlign w:val="baseline"/>
        </w:rPr>
        <w:footnoteRef/>
      </w:r>
      <w:r w:rsidRPr="008145DD">
        <w:t xml:space="preserve"> </w:t>
      </w:r>
      <w:proofErr w:type="gramStart"/>
      <w:r w:rsidRPr="008145DD">
        <w:t>Inter-American Commission on Human Rights, “Access to Maternal Health Services from a Human Rights Perspective”</w:t>
      </w:r>
      <w:r>
        <w:t>,</w:t>
      </w:r>
      <w:r w:rsidRPr="008145DD">
        <w:t xml:space="preserve"> 2010.</w:t>
      </w:r>
      <w:proofErr w:type="gramEnd"/>
    </w:p>
  </w:footnote>
  <w:footnote w:id="394">
    <w:p w14:paraId="6E337253" w14:textId="3870DAEE" w:rsidR="00876AA0" w:rsidRPr="008145DD" w:rsidRDefault="00876AA0" w:rsidP="008145DD">
      <w:pPr>
        <w:pStyle w:val="RTFootnotetext"/>
      </w:pPr>
      <w:r w:rsidRPr="008145DD">
        <w:rPr>
          <w:rStyle w:val="FootnoteReference"/>
          <w:vertAlign w:val="baseline"/>
        </w:rPr>
        <w:footnoteRef/>
      </w:r>
      <w:r w:rsidRPr="008145DD">
        <w:t xml:space="preserve"> </w:t>
      </w:r>
      <w:proofErr w:type="gramStart"/>
      <w:r w:rsidRPr="008145DD">
        <w:t>Report of the Working Group on the issue of discrimination against women in law and practice</w:t>
      </w:r>
      <w:r>
        <w:t>,</w:t>
      </w:r>
      <w:r w:rsidRPr="008145DD">
        <w:t xml:space="preserve"> 8 April 2016</w:t>
      </w:r>
      <w:r>
        <w:t>,</w:t>
      </w:r>
      <w:r w:rsidRPr="008145DD">
        <w:t xml:space="preserve"> UN Doc.</w:t>
      </w:r>
      <w:proofErr w:type="gramEnd"/>
      <w:r w:rsidRPr="008145DD">
        <w:t xml:space="preserve"> </w:t>
      </w:r>
      <w:proofErr w:type="gramStart"/>
      <w:r w:rsidRPr="008145DD">
        <w:t>A/HRC/32/44</w:t>
      </w:r>
      <w:r>
        <w:t>,</w:t>
      </w:r>
      <w:r w:rsidRPr="008145DD">
        <w:t xml:space="preserve"> </w:t>
      </w:r>
      <w:r>
        <w:t>p</w:t>
      </w:r>
      <w:r w:rsidRPr="008145DD">
        <w:t>aras 29, 78</w:t>
      </w:r>
      <w:r>
        <w:t>.</w:t>
      </w:r>
      <w:proofErr w:type="gramEnd"/>
    </w:p>
  </w:footnote>
  <w:footnote w:id="395">
    <w:p w14:paraId="46B5CAFF" w14:textId="0559D257" w:rsidR="00876AA0" w:rsidRDefault="00876AA0" w:rsidP="008145DD">
      <w:pPr>
        <w:pStyle w:val="RTFootnotetext"/>
      </w:pPr>
      <w:r w:rsidRPr="008145DD">
        <w:rPr>
          <w:rStyle w:val="FootnoteReference"/>
          <w:vertAlign w:val="baseline"/>
        </w:rPr>
        <w:footnoteRef/>
      </w:r>
      <w:r w:rsidRPr="008145DD">
        <w:t xml:space="preserve"> Phone Interview, Public health expert, Knoxville, Tennessee, </w:t>
      </w:r>
      <w:r>
        <w:t xml:space="preserve">4 </w:t>
      </w:r>
      <w:r w:rsidRPr="008145DD">
        <w:t>March 2016.</w:t>
      </w:r>
    </w:p>
  </w:footnote>
  <w:footnote w:id="396">
    <w:p w14:paraId="7B75C52B" w14:textId="77777777" w:rsidR="00876AA0" w:rsidRDefault="00876AA0" w:rsidP="008145DD">
      <w:pPr>
        <w:pStyle w:val="RTFootnotetext"/>
      </w:pPr>
      <w:r w:rsidRPr="008145DD">
        <w:rPr>
          <w:rStyle w:val="FootnoteReference"/>
          <w:vertAlign w:val="baseline"/>
        </w:rPr>
        <w:footnoteRef/>
      </w:r>
      <w:r w:rsidRPr="008145DD">
        <w:t xml:space="preserve"> National Asian Pacific American Women’s Forum (NAPAWF), National Asian Pacific American Women’s Forum Celebrates Release of </w:t>
      </w:r>
      <w:proofErr w:type="spellStart"/>
      <w:r w:rsidRPr="008145DD">
        <w:t>Purvi</w:t>
      </w:r>
      <w:proofErr w:type="spellEnd"/>
      <w:r w:rsidRPr="008145DD">
        <w:t xml:space="preserve"> Patel, Press Release </w:t>
      </w:r>
      <w:r>
        <w:t xml:space="preserve">1 </w:t>
      </w:r>
      <w:r w:rsidRPr="008145DD">
        <w:t xml:space="preserve">September 2016 </w:t>
      </w:r>
      <w:r>
        <w:t>(</w:t>
      </w:r>
      <w:r w:rsidRPr="008145DD">
        <w:t xml:space="preserve">“In the anti-choice movement, Asian women are seen as having a predilection for abortion. At the hospital, police demanded to know over and over whether </w:t>
      </w:r>
      <w:r>
        <w:t>‘</w:t>
      </w:r>
      <w:r w:rsidRPr="008145DD">
        <w:t>the father</w:t>
      </w:r>
      <w:r>
        <w:t>’</w:t>
      </w:r>
      <w:r w:rsidRPr="008145DD">
        <w:t xml:space="preserve"> was Indian, and there was an anti-Asian sex-selective abortion ban being debated in Indiana at the time of </w:t>
      </w:r>
      <w:proofErr w:type="spellStart"/>
      <w:r w:rsidRPr="008145DD">
        <w:t>Purvi’s</w:t>
      </w:r>
      <w:proofErr w:type="spellEnd"/>
      <w:r w:rsidRPr="008145DD">
        <w:t xml:space="preserve"> sentencing.”</w:t>
      </w:r>
      <w:r>
        <w:t>),</w:t>
      </w:r>
      <w:r w:rsidRPr="008145DD">
        <w:t xml:space="preserve"> </w:t>
      </w:r>
      <w:hyperlink r:id="rId77" w:history="1">
        <w:r w:rsidRPr="008145DD">
          <w:rPr>
            <w:rStyle w:val="Hyperlink"/>
            <w:color w:val="000000" w:themeColor="text1"/>
            <w:u w:val="none"/>
          </w:rPr>
          <w:t>napawf.org/programs/reproductive-justice-2/supporting-purvi-patel/</w:t>
        </w:r>
      </w:hyperlink>
    </w:p>
    <w:p w14:paraId="47396164" w14:textId="0F726538" w:rsidR="00876AA0" w:rsidRPr="008145DD" w:rsidRDefault="00876AA0" w:rsidP="008145DD">
      <w:pPr>
        <w:pStyle w:val="RTFootnotetext"/>
      </w:pPr>
      <w:r w:rsidRPr="008145DD">
        <w:t xml:space="preserve">G. Howard, </w:t>
      </w:r>
      <w:r>
        <w:t>‘</w:t>
      </w:r>
      <w:r w:rsidRPr="008145DD">
        <w:t>The Limits of Pure White: Raced Reproduction in the ‘Methamphetamine’ Crisis</w:t>
      </w:r>
      <w:r>
        <w:t>’,</w:t>
      </w:r>
      <w:r w:rsidRPr="008145DD">
        <w:t xml:space="preserve"> Women’s Rights Law Reporter</w:t>
      </w:r>
      <w:r>
        <w:t>,</w:t>
      </w:r>
      <w:r w:rsidRPr="008145DD">
        <w:t xml:space="preserve"> 35</w:t>
      </w:r>
      <w:r>
        <w:t xml:space="preserve">, </w:t>
      </w:r>
      <w:r w:rsidRPr="008145DD">
        <w:t xml:space="preserve">2013; D. Roberts, </w:t>
      </w:r>
      <w:r>
        <w:t>‘</w:t>
      </w:r>
      <w:r w:rsidRPr="008145DD">
        <w:t>Unshackling Black Motherhood</w:t>
      </w:r>
      <w:r>
        <w:t>’</w:t>
      </w:r>
      <w:r w:rsidRPr="008145DD">
        <w:t>, Michigan Law Review</w:t>
      </w:r>
      <w:r>
        <w:t>,</w:t>
      </w:r>
      <w:r w:rsidRPr="008145DD">
        <w:t xml:space="preserve"> </w:t>
      </w:r>
      <w:r>
        <w:t xml:space="preserve">95, </w:t>
      </w:r>
      <w:r w:rsidRPr="008145DD">
        <w:t>1996-1997.</w:t>
      </w:r>
    </w:p>
  </w:footnote>
  <w:footnote w:id="397">
    <w:p w14:paraId="7F5A217A" w14:textId="6244AB9B" w:rsidR="00876AA0" w:rsidRPr="008145DD" w:rsidRDefault="00876AA0" w:rsidP="008145DD">
      <w:pPr>
        <w:pStyle w:val="RTFootnotetext"/>
      </w:pPr>
      <w:r w:rsidRPr="008145DD">
        <w:rPr>
          <w:rStyle w:val="FootnoteReference"/>
          <w:vertAlign w:val="baseline"/>
        </w:rPr>
        <w:footnoteRef/>
      </w:r>
      <w:r w:rsidRPr="008145DD">
        <w:t xml:space="preserve"> </w:t>
      </w:r>
      <w:proofErr w:type="gramStart"/>
      <w:r w:rsidRPr="008145DD">
        <w:t>CESCR General Comment 22 on the right to sexual and reproductive health (article 12 of the International Covenant on Economic, Social and Cultural Rights), 2 May 2016, UN Doc E/C.12/GC/22 paras 27, 35.</w:t>
      </w:r>
      <w:proofErr w:type="gramEnd"/>
    </w:p>
  </w:footnote>
  <w:footnote w:id="398">
    <w:p w14:paraId="3FC33198" w14:textId="416049B3" w:rsidR="00876AA0" w:rsidRPr="008145DD" w:rsidRDefault="00876AA0" w:rsidP="008145DD">
      <w:pPr>
        <w:pStyle w:val="RTFootnotetext"/>
      </w:pPr>
      <w:r w:rsidRPr="008145DD">
        <w:footnoteRef/>
      </w:r>
      <w:r w:rsidRPr="008145DD">
        <w:t xml:space="preserve"> See Human Rights Committee, General Comment 28 </w:t>
      </w:r>
      <w:r>
        <w:t>(</w:t>
      </w:r>
      <w:r w:rsidRPr="008145DD">
        <w:t xml:space="preserve">Equality of rights between men and women (Article 3)), </w:t>
      </w:r>
      <w:r>
        <w:t xml:space="preserve">29 March 2000, </w:t>
      </w:r>
      <w:r w:rsidRPr="008145DD">
        <w:t>UN Doc. CCPR/C/21/Rev.1/Add.10, para. 5.</w:t>
      </w:r>
    </w:p>
  </w:footnote>
  <w:footnote w:id="399">
    <w:p w14:paraId="3E5259D4" w14:textId="52AD7C3F" w:rsidR="00876AA0" w:rsidRPr="008145DD" w:rsidRDefault="00876AA0" w:rsidP="008145DD">
      <w:pPr>
        <w:pStyle w:val="RTFootnotetext"/>
      </w:pPr>
      <w:r w:rsidRPr="008145DD">
        <w:footnoteRef/>
      </w:r>
      <w:r w:rsidRPr="008145DD">
        <w:t xml:space="preserve"> </w:t>
      </w:r>
      <w:proofErr w:type="gramStart"/>
      <w:r w:rsidRPr="008145DD">
        <w:t xml:space="preserve">See Human Rights Committee, General Comment 28 (equality of rights between men and women (Article 3)), </w:t>
      </w:r>
      <w:r>
        <w:t xml:space="preserve">29 March 2000, </w:t>
      </w:r>
      <w:r w:rsidRPr="008145DD">
        <w:t>UN Doc. CCPR/C/21/Rev.1/Add.10, 2000, para.</w:t>
      </w:r>
      <w:proofErr w:type="gramEnd"/>
      <w:r w:rsidRPr="008145DD">
        <w:t xml:space="preserve"> 5.</w:t>
      </w:r>
    </w:p>
  </w:footnote>
  <w:footnote w:id="400">
    <w:p w14:paraId="784CEA09" w14:textId="77777777" w:rsidR="00876AA0" w:rsidRPr="008145DD" w:rsidRDefault="00876AA0" w:rsidP="008145DD">
      <w:pPr>
        <w:pStyle w:val="RTFootnotetext"/>
      </w:pPr>
      <w:r w:rsidRPr="008145DD">
        <w:rPr>
          <w:rStyle w:val="FootnoteReference"/>
          <w:vertAlign w:val="baseline"/>
        </w:rPr>
        <w:footnoteRef/>
      </w:r>
      <w:r w:rsidRPr="008145DD">
        <w:t xml:space="preserve"> </w:t>
      </w:r>
      <w:proofErr w:type="gramStart"/>
      <w:r w:rsidRPr="008145DD">
        <w:t>Convention on the Elimination of All Forms of Discrimination against Women, General Recommendation No. 28, 19 October 2010 UN Doc. CEDAW/C/2010/47/GC.2, 2010, para.</w:t>
      </w:r>
      <w:proofErr w:type="gramEnd"/>
      <w:r w:rsidRPr="008145DD">
        <w:t xml:space="preserve"> 18.</w:t>
      </w:r>
    </w:p>
  </w:footnote>
  <w:footnote w:id="401">
    <w:p w14:paraId="39BB5B2C" w14:textId="162C8EE1" w:rsidR="00876AA0" w:rsidRPr="008145DD" w:rsidRDefault="00876AA0" w:rsidP="008145DD">
      <w:pPr>
        <w:pStyle w:val="RTFootnotetext"/>
      </w:pPr>
      <w:r w:rsidRPr="008145DD">
        <w:rPr>
          <w:rStyle w:val="FootnoteReference"/>
          <w:vertAlign w:val="baseline"/>
        </w:rPr>
        <w:footnoteRef/>
      </w:r>
      <w:r w:rsidRPr="008145DD">
        <w:t xml:space="preserve"> See Committee on the Elimination of Discrimination against Women,</w:t>
      </w:r>
      <w:r>
        <w:t xml:space="preserve"> </w:t>
      </w:r>
      <w:r w:rsidRPr="00FF4C1E">
        <w:rPr>
          <w:i/>
        </w:rPr>
        <w:t>L.C. v</w:t>
      </w:r>
      <w:r>
        <w:rPr>
          <w:i/>
        </w:rPr>
        <w:t xml:space="preserve"> </w:t>
      </w:r>
      <w:r w:rsidRPr="00FF4C1E">
        <w:rPr>
          <w:i/>
        </w:rPr>
        <w:t>Peru</w:t>
      </w:r>
      <w:r w:rsidRPr="008145DD">
        <w:t>,</w:t>
      </w:r>
      <w:r>
        <w:t xml:space="preserve"> </w:t>
      </w:r>
      <w:r w:rsidRPr="008145DD">
        <w:t>Communication No</w:t>
      </w:r>
      <w:r>
        <w:t>.</w:t>
      </w:r>
      <w:r w:rsidRPr="008145DD">
        <w:t xml:space="preserve"> 22/2009</w:t>
      </w:r>
      <w:r>
        <w:t>,</w:t>
      </w:r>
      <w:r w:rsidRPr="008145DD">
        <w:t xml:space="preserve"> UN Doc CEDAW/C/50/D/22/2009</w:t>
      </w:r>
      <w:r>
        <w:t>,</w:t>
      </w:r>
      <w:r w:rsidRPr="008145DD">
        <w:t xml:space="preserve"> </w:t>
      </w:r>
      <w:proofErr w:type="gramStart"/>
      <w:r w:rsidRPr="008145DD">
        <w:t>para</w:t>
      </w:r>
      <w:proofErr w:type="gramEnd"/>
      <w:r>
        <w:t>.</w:t>
      </w:r>
      <w:r w:rsidRPr="008145DD">
        <w:t xml:space="preserve"> 8.15.</w:t>
      </w:r>
      <w:r w:rsidRPr="00BB6C4B">
        <w:t xml:space="preserve"> </w:t>
      </w:r>
    </w:p>
  </w:footnote>
  <w:footnote w:id="402">
    <w:p w14:paraId="63A58338" w14:textId="1E4F3089" w:rsidR="00876AA0" w:rsidRPr="008145DD" w:rsidRDefault="00876AA0" w:rsidP="008145DD">
      <w:pPr>
        <w:pStyle w:val="RTFootnotetext"/>
      </w:pPr>
      <w:r w:rsidRPr="008145DD">
        <w:rPr>
          <w:rStyle w:val="FootnoteReference"/>
          <w:vertAlign w:val="baseline"/>
        </w:rPr>
        <w:footnoteRef/>
      </w:r>
      <w:r w:rsidRPr="008145DD">
        <w:t xml:space="preserve"> Committee on the Elimination of Discrimination against Women, </w:t>
      </w:r>
      <w:r w:rsidRPr="00FF4C1E">
        <w:rPr>
          <w:i/>
        </w:rPr>
        <w:t>L.C. v Peru</w:t>
      </w:r>
      <w:r>
        <w:t>,</w:t>
      </w:r>
      <w:r w:rsidRPr="008145DD">
        <w:t xml:space="preserve"> Communication No</w:t>
      </w:r>
      <w:r>
        <w:t>.</w:t>
      </w:r>
      <w:r w:rsidRPr="008145DD">
        <w:t xml:space="preserve"> 22/2009, UN Doc</w:t>
      </w:r>
      <w:r>
        <w:t>.</w:t>
      </w:r>
      <w:r w:rsidRPr="008145DD">
        <w:t xml:space="preserve"> CEDAW/C/50/D/22/2009</w:t>
      </w:r>
      <w:r>
        <w:t xml:space="preserve">, </w:t>
      </w:r>
      <w:r w:rsidRPr="008145DD">
        <w:t>para</w:t>
      </w:r>
      <w:r>
        <w:t>.</w:t>
      </w:r>
      <w:r w:rsidRPr="008145DD">
        <w:t xml:space="preserve"> </w:t>
      </w:r>
      <w:proofErr w:type="gramStart"/>
      <w:r w:rsidRPr="008145DD">
        <w:t>8.15, 2011; Committee on the Elimination of Discrimination against Women, Concluding observations on Hungary, 2013, para</w:t>
      </w:r>
      <w:r>
        <w:t>.</w:t>
      </w:r>
      <w:proofErr w:type="gramEnd"/>
      <w:r w:rsidRPr="008145DD">
        <w:t xml:space="preserve"> 30.</w:t>
      </w:r>
    </w:p>
  </w:footnote>
  <w:footnote w:id="403">
    <w:p w14:paraId="5FA7EC2F" w14:textId="77777777" w:rsidR="00876AA0" w:rsidRPr="009F4CE4" w:rsidRDefault="00876AA0" w:rsidP="009F4CE4">
      <w:pPr>
        <w:pStyle w:val="RTFootnotetext"/>
      </w:pPr>
      <w:r w:rsidRPr="009F4CE4">
        <w:rPr>
          <w:rStyle w:val="FootnoteReference"/>
          <w:vertAlign w:val="baseline"/>
        </w:rPr>
        <w:footnoteRef/>
      </w:r>
      <w:r w:rsidRPr="009F4CE4">
        <w:t xml:space="preserve"> See CEDAW, Article 5; the Convention of </w:t>
      </w:r>
      <w:proofErr w:type="spellStart"/>
      <w:r w:rsidRPr="009F4CE4">
        <w:t>Belém</w:t>
      </w:r>
      <w:proofErr w:type="spellEnd"/>
      <w:r w:rsidRPr="009F4CE4">
        <w:t xml:space="preserve"> do </w:t>
      </w:r>
      <w:proofErr w:type="spellStart"/>
      <w:r w:rsidRPr="009F4CE4">
        <w:t>Pará</w:t>
      </w:r>
      <w:proofErr w:type="spellEnd"/>
      <w:r w:rsidRPr="009F4CE4">
        <w:t>, Articles 6 and 8.</w:t>
      </w:r>
    </w:p>
  </w:footnote>
  <w:footnote w:id="404">
    <w:p w14:paraId="481CB60B" w14:textId="77777777" w:rsidR="00876AA0" w:rsidRPr="007B1713" w:rsidRDefault="00876AA0" w:rsidP="009F4CE4">
      <w:pPr>
        <w:pStyle w:val="RTFootnotetext"/>
        <w:rPr>
          <w:szCs w:val="14"/>
        </w:rPr>
      </w:pPr>
      <w:r w:rsidRPr="009F4CE4">
        <w:rPr>
          <w:rStyle w:val="FootnoteReference"/>
          <w:vertAlign w:val="baseline"/>
        </w:rPr>
        <w:footnoteRef/>
      </w:r>
      <w:r w:rsidRPr="009F4CE4">
        <w:t xml:space="preserve"> CEDAW, Article 5.</w:t>
      </w:r>
      <w:r w:rsidRPr="009F4CE4">
        <w:tab/>
      </w:r>
    </w:p>
  </w:footnote>
  <w:footnote w:id="405">
    <w:p w14:paraId="10809E37" w14:textId="0750C78C" w:rsidR="00876AA0" w:rsidRPr="008145DD" w:rsidRDefault="00876AA0" w:rsidP="008145DD">
      <w:pPr>
        <w:pStyle w:val="RTFootnotetext"/>
      </w:pPr>
      <w:r w:rsidRPr="008145DD">
        <w:rPr>
          <w:rStyle w:val="FootnoteReference"/>
          <w:vertAlign w:val="baseline"/>
        </w:rPr>
        <w:footnoteRef/>
      </w:r>
      <w:r w:rsidRPr="008145DD">
        <w:t xml:space="preserve"> CEDAW, Article 5; see also OHCHR, Gender stereotyping as a human rights violation, 2013, p. 23</w:t>
      </w:r>
      <w:r>
        <w:t xml:space="preserve"> </w:t>
      </w:r>
      <w:r w:rsidRPr="008B76F6">
        <w:t>www.ohchr.org/EN/Issues/Women/WRGS/Pages/GenderStereotypes.aspx</w:t>
      </w:r>
    </w:p>
  </w:footnote>
  <w:footnote w:id="406">
    <w:p w14:paraId="31424BC5" w14:textId="782E621B" w:rsidR="00876AA0" w:rsidRPr="008145DD" w:rsidRDefault="00876AA0" w:rsidP="008145DD">
      <w:pPr>
        <w:pStyle w:val="RTFootnotetext"/>
      </w:pPr>
      <w:r w:rsidRPr="008145DD">
        <w:rPr>
          <w:rStyle w:val="FootnoteReference"/>
          <w:vertAlign w:val="baseline"/>
        </w:rPr>
        <w:footnoteRef/>
      </w:r>
      <w:r w:rsidRPr="008145DD">
        <w:t xml:space="preserve"> </w:t>
      </w:r>
      <w:r>
        <w:t xml:space="preserve">CEDAW, Article 2(f); </w:t>
      </w:r>
      <w:r w:rsidRPr="008145DD">
        <w:t>OHCHR</w:t>
      </w:r>
      <w:r>
        <w:t xml:space="preserve"> Commissioned Report</w:t>
      </w:r>
      <w:r w:rsidRPr="008145DD">
        <w:t>, Gender stereotyping as a human rights violation, 201</w:t>
      </w:r>
      <w:r>
        <w:t>3</w:t>
      </w:r>
      <w:r w:rsidRPr="008145DD">
        <w:t>, p. 24</w:t>
      </w:r>
      <w:r>
        <w:t xml:space="preserve">, </w:t>
      </w:r>
      <w:r w:rsidRPr="008B76F6">
        <w:t>www.ohchr.org/EN/Issues/Women/WRGS/Pages/GenderStereotypes.aspx</w:t>
      </w:r>
    </w:p>
  </w:footnote>
  <w:footnote w:id="407">
    <w:p w14:paraId="57036454" w14:textId="3F89B12D" w:rsidR="00876AA0" w:rsidRDefault="00876AA0" w:rsidP="008145DD">
      <w:pPr>
        <w:pStyle w:val="RTFootnotetext"/>
      </w:pPr>
      <w:r w:rsidRPr="008145DD">
        <w:rPr>
          <w:rStyle w:val="FootnoteReference"/>
          <w:vertAlign w:val="baseline"/>
        </w:rPr>
        <w:footnoteRef/>
      </w:r>
      <w:r w:rsidRPr="008145DD">
        <w:t xml:space="preserve"> </w:t>
      </w:r>
      <w:proofErr w:type="gramStart"/>
      <w:r w:rsidRPr="008145DD">
        <w:t xml:space="preserve">CEDAW, General Recommendation 25 </w:t>
      </w:r>
      <w:r>
        <w:t>(</w:t>
      </w:r>
      <w:r w:rsidRPr="008B76F6">
        <w:t>article 4, para</w:t>
      </w:r>
      <w:r>
        <w:t>.</w:t>
      </w:r>
      <w:r w:rsidRPr="008B76F6">
        <w:t>1, of the Convention on the Elimination of All Forms of Discrimination against Women, on temporary special measures</w:t>
      </w:r>
      <w:r>
        <w:t>)</w:t>
      </w:r>
      <w:r w:rsidRPr="008145DD">
        <w:t>, para.</w:t>
      </w:r>
      <w:proofErr w:type="gramEnd"/>
      <w:r w:rsidRPr="008145DD">
        <w:t xml:space="preserve"> 7</w:t>
      </w:r>
      <w:r>
        <w:t>; s</w:t>
      </w:r>
      <w:r w:rsidRPr="008145DD">
        <w:t xml:space="preserve">ee OHCHR, Gender Stereotypes and Stereotyping and Women’s Rights, September 2014, www.ohchr.org/Documents/Issues/Women/WRGS/OnePagers/Gender_stereotyping.pdf </w:t>
      </w:r>
    </w:p>
    <w:p w14:paraId="57618959" w14:textId="4CFD75A3" w:rsidR="00876AA0" w:rsidRPr="008145DD" w:rsidRDefault="00876AA0" w:rsidP="008145DD">
      <w:pPr>
        <w:pStyle w:val="RTFootnotetext"/>
      </w:pPr>
      <w:r w:rsidRPr="008145DD">
        <w:t>R. Cook and S. Cusack</w:t>
      </w:r>
      <w:r>
        <w:t>,</w:t>
      </w:r>
      <w:r w:rsidRPr="008145DD">
        <w:t xml:space="preserve"> Gender Stereotyping: Transnational Legal Perspectives</w:t>
      </w:r>
      <w:r>
        <w:t>,</w:t>
      </w:r>
      <w:r w:rsidRPr="008145DD">
        <w:t xml:space="preserve"> Philadelphia: University of Pennsylvania Press, 2010</w:t>
      </w:r>
      <w:r>
        <w:t>;</w:t>
      </w:r>
      <w:r w:rsidRPr="008145DD">
        <w:t xml:space="preserve"> see also </w:t>
      </w:r>
      <w:r w:rsidR="006E6E61" w:rsidRPr="008145DD">
        <w:t>Committee on the Elimination of Discrimination against Women</w:t>
      </w:r>
      <w:r w:rsidRPr="008145DD">
        <w:t xml:space="preserve">, </w:t>
      </w:r>
      <w:r w:rsidRPr="004D456B">
        <w:rPr>
          <w:i/>
        </w:rPr>
        <w:t>R.K.B. v Turkey</w:t>
      </w:r>
      <w:r w:rsidRPr="008145DD">
        <w:t xml:space="preserve">, UN Doc. CEDAW/C/51/D/28/2010, 2012, para. 8.8; Committee on the Elimination of Discrimination against Women, </w:t>
      </w:r>
      <w:proofErr w:type="spellStart"/>
      <w:r w:rsidRPr="00FF4C1E">
        <w:rPr>
          <w:i/>
        </w:rPr>
        <w:t>Vertido</w:t>
      </w:r>
      <w:proofErr w:type="spellEnd"/>
      <w:r w:rsidRPr="00FF4C1E">
        <w:rPr>
          <w:i/>
        </w:rPr>
        <w:t xml:space="preserve"> v Philippines</w:t>
      </w:r>
      <w:r w:rsidRPr="008145DD">
        <w:t xml:space="preserve">, </w:t>
      </w:r>
      <w:r>
        <w:t>UN Doc. CEDAW/C/46/D/18/2008</w:t>
      </w:r>
      <w:r w:rsidR="006E6E61">
        <w:t>, 2010</w:t>
      </w:r>
      <w:r w:rsidRPr="008145DD">
        <w:t xml:space="preserve">; Committee on the Elimination of Discrimination against Women, </w:t>
      </w:r>
      <w:r w:rsidRPr="00FF4C1E">
        <w:rPr>
          <w:i/>
        </w:rPr>
        <w:t xml:space="preserve">Gonzalez </w:t>
      </w:r>
      <w:proofErr w:type="spellStart"/>
      <w:r w:rsidRPr="00FF4C1E">
        <w:rPr>
          <w:i/>
        </w:rPr>
        <w:t>Carreño</w:t>
      </w:r>
      <w:proofErr w:type="spellEnd"/>
      <w:r w:rsidRPr="00FF4C1E">
        <w:rPr>
          <w:i/>
        </w:rPr>
        <w:t xml:space="preserve"> v Spain</w:t>
      </w:r>
      <w:r w:rsidRPr="008145DD">
        <w:t>, 2012</w:t>
      </w:r>
      <w:r>
        <w:t xml:space="preserve">, UN Doc. </w:t>
      </w:r>
      <w:r w:rsidRPr="00A86FC1">
        <w:t>CEDAW/C/58/D/47/2012</w:t>
      </w:r>
      <w:r w:rsidR="006E6E61">
        <w:t>, 2012.</w:t>
      </w:r>
    </w:p>
  </w:footnote>
  <w:footnote w:id="408">
    <w:p w14:paraId="53DF11CB" w14:textId="77777777" w:rsidR="00876AA0" w:rsidRPr="00687ADB" w:rsidRDefault="00876AA0" w:rsidP="008145DD">
      <w:pPr>
        <w:pStyle w:val="RTFootnotetext"/>
        <w:rPr>
          <w:szCs w:val="14"/>
        </w:rPr>
      </w:pPr>
      <w:r w:rsidRPr="008145DD">
        <w:footnoteRef/>
      </w:r>
      <w:r w:rsidRPr="008145DD">
        <w:t xml:space="preserve"> Inter-American Court of Human Rights, </w:t>
      </w:r>
      <w:r w:rsidRPr="004D456B">
        <w:rPr>
          <w:i/>
        </w:rPr>
        <w:t>Gonzalez et al. (“Cotton Field”) v Mexico</w:t>
      </w:r>
      <w:r w:rsidRPr="008145DD">
        <w:t>, 2009, para. 401.</w:t>
      </w:r>
    </w:p>
  </w:footnote>
  <w:footnote w:id="409">
    <w:p w14:paraId="2BD5194D" w14:textId="2C137A9D" w:rsidR="00876AA0" w:rsidRPr="00D433CE" w:rsidRDefault="00876AA0" w:rsidP="00D433CE">
      <w:pPr>
        <w:pStyle w:val="RTFootnotetext"/>
      </w:pPr>
      <w:r w:rsidRPr="00D433CE">
        <w:rPr>
          <w:rStyle w:val="FootnoteReference"/>
          <w:vertAlign w:val="baseline"/>
        </w:rPr>
        <w:footnoteRef/>
      </w:r>
      <w:r w:rsidRPr="00D433CE">
        <w:t xml:space="preserve"> </w:t>
      </w:r>
      <w:proofErr w:type="gramStart"/>
      <w:r>
        <w:t xml:space="preserve">Participant, </w:t>
      </w:r>
      <w:r w:rsidRPr="00D433CE">
        <w:rPr>
          <w:lang w:val="en-GB"/>
        </w:rPr>
        <w:t>Nashville Focus Group with 8 women, 17 March 2015.</w:t>
      </w:r>
      <w:proofErr w:type="gramEnd"/>
    </w:p>
  </w:footnote>
  <w:footnote w:id="410">
    <w:p w14:paraId="6A7E7674" w14:textId="77777777" w:rsidR="00876AA0" w:rsidRPr="00D433CE" w:rsidRDefault="00876AA0" w:rsidP="00D433CE">
      <w:pPr>
        <w:pStyle w:val="RTFootnotetext"/>
      </w:pPr>
      <w:r w:rsidRPr="00D433CE">
        <w:rPr>
          <w:rStyle w:val="FootnoteReference"/>
          <w:vertAlign w:val="baseline"/>
        </w:rPr>
        <w:footnoteRef/>
      </w:r>
      <w:r w:rsidRPr="00D433CE">
        <w:t xml:space="preserve"> See Report of the U.N. Special Rapporteur on the right of everyone to the enjoyment of the highest attainable standard of physical and mental health, 6 August 2010, UN Doc. </w:t>
      </w:r>
      <w:proofErr w:type="gramStart"/>
      <w:r w:rsidRPr="00D433CE">
        <w:t>A/65/255 para.</w:t>
      </w:r>
      <w:proofErr w:type="gramEnd"/>
      <w:r w:rsidRPr="00D433CE">
        <w:t xml:space="preserve"> 24.</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FCD51E" w14:textId="5CE9F398" w:rsidR="00876AA0" w:rsidRPr="00706917" w:rsidRDefault="00876AA0" w:rsidP="00472CD3">
    <w:pPr>
      <w:pStyle w:val="Header"/>
      <w:rPr>
        <w:rFonts w:asciiTheme="majorHAnsi" w:hAnsiTheme="majorHAnsi"/>
        <w:sz w:val="15"/>
        <w:szCs w:val="15"/>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A5BA43E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84729C4C"/>
    <w:lvl w:ilvl="0">
      <w:start w:val="1"/>
      <w:numFmt w:val="decimal"/>
      <w:lvlText w:val="%1."/>
      <w:lvlJc w:val="left"/>
      <w:pPr>
        <w:tabs>
          <w:tab w:val="num" w:pos="1492"/>
        </w:tabs>
        <w:ind w:left="1492" w:hanging="360"/>
      </w:pPr>
    </w:lvl>
  </w:abstractNum>
  <w:abstractNum w:abstractNumId="2">
    <w:nsid w:val="FFFFFF7D"/>
    <w:multiLevelType w:val="singleLevel"/>
    <w:tmpl w:val="83609154"/>
    <w:lvl w:ilvl="0">
      <w:start w:val="1"/>
      <w:numFmt w:val="decimal"/>
      <w:lvlText w:val="%1."/>
      <w:lvlJc w:val="left"/>
      <w:pPr>
        <w:tabs>
          <w:tab w:val="num" w:pos="1209"/>
        </w:tabs>
        <w:ind w:left="1209" w:hanging="360"/>
      </w:pPr>
    </w:lvl>
  </w:abstractNum>
  <w:abstractNum w:abstractNumId="3">
    <w:nsid w:val="FFFFFF7E"/>
    <w:multiLevelType w:val="singleLevel"/>
    <w:tmpl w:val="4DF62B92"/>
    <w:lvl w:ilvl="0">
      <w:start w:val="1"/>
      <w:numFmt w:val="decimal"/>
      <w:lvlText w:val="%1."/>
      <w:lvlJc w:val="left"/>
      <w:pPr>
        <w:tabs>
          <w:tab w:val="num" w:pos="926"/>
        </w:tabs>
        <w:ind w:left="926" w:hanging="360"/>
      </w:pPr>
    </w:lvl>
  </w:abstractNum>
  <w:abstractNum w:abstractNumId="4">
    <w:nsid w:val="FFFFFF7F"/>
    <w:multiLevelType w:val="singleLevel"/>
    <w:tmpl w:val="6D74580C"/>
    <w:lvl w:ilvl="0">
      <w:start w:val="1"/>
      <w:numFmt w:val="decimal"/>
      <w:lvlText w:val="%1."/>
      <w:lvlJc w:val="left"/>
      <w:pPr>
        <w:tabs>
          <w:tab w:val="num" w:pos="643"/>
        </w:tabs>
        <w:ind w:left="643" w:hanging="360"/>
      </w:pPr>
    </w:lvl>
  </w:abstractNum>
  <w:abstractNum w:abstractNumId="5">
    <w:nsid w:val="FFFFFF80"/>
    <w:multiLevelType w:val="singleLevel"/>
    <w:tmpl w:val="3490EAE6"/>
    <w:lvl w:ilvl="0">
      <w:start w:val="1"/>
      <w:numFmt w:val="bullet"/>
      <w:lvlText w:val=""/>
      <w:lvlJc w:val="left"/>
      <w:pPr>
        <w:tabs>
          <w:tab w:val="num" w:pos="1492"/>
        </w:tabs>
        <w:ind w:left="1492" w:hanging="360"/>
      </w:pPr>
      <w:rPr>
        <w:rFonts w:ascii="Symbol" w:hAnsi="Symbol" w:hint="default"/>
      </w:rPr>
    </w:lvl>
  </w:abstractNum>
  <w:abstractNum w:abstractNumId="6">
    <w:nsid w:val="FFFFFF81"/>
    <w:multiLevelType w:val="singleLevel"/>
    <w:tmpl w:val="A176B98E"/>
    <w:lvl w:ilvl="0">
      <w:start w:val="1"/>
      <w:numFmt w:val="bullet"/>
      <w:lvlText w:val=""/>
      <w:lvlJc w:val="left"/>
      <w:pPr>
        <w:tabs>
          <w:tab w:val="num" w:pos="1209"/>
        </w:tabs>
        <w:ind w:left="1209" w:hanging="360"/>
      </w:pPr>
      <w:rPr>
        <w:rFonts w:ascii="Symbol" w:hAnsi="Symbol" w:hint="default"/>
      </w:rPr>
    </w:lvl>
  </w:abstractNum>
  <w:abstractNum w:abstractNumId="7">
    <w:nsid w:val="FFFFFF82"/>
    <w:multiLevelType w:val="singleLevel"/>
    <w:tmpl w:val="EE781D9C"/>
    <w:lvl w:ilvl="0">
      <w:start w:val="1"/>
      <w:numFmt w:val="bullet"/>
      <w:lvlText w:val=""/>
      <w:lvlJc w:val="left"/>
      <w:pPr>
        <w:tabs>
          <w:tab w:val="num" w:pos="926"/>
        </w:tabs>
        <w:ind w:left="926" w:hanging="360"/>
      </w:pPr>
      <w:rPr>
        <w:rFonts w:ascii="Symbol" w:hAnsi="Symbol" w:hint="default"/>
      </w:rPr>
    </w:lvl>
  </w:abstractNum>
  <w:abstractNum w:abstractNumId="8">
    <w:nsid w:val="FFFFFF83"/>
    <w:multiLevelType w:val="singleLevel"/>
    <w:tmpl w:val="45A0601C"/>
    <w:lvl w:ilvl="0">
      <w:start w:val="1"/>
      <w:numFmt w:val="bullet"/>
      <w:lvlText w:val=""/>
      <w:lvlJc w:val="left"/>
      <w:pPr>
        <w:tabs>
          <w:tab w:val="num" w:pos="643"/>
        </w:tabs>
        <w:ind w:left="643" w:hanging="360"/>
      </w:pPr>
      <w:rPr>
        <w:rFonts w:ascii="Symbol" w:hAnsi="Symbol" w:hint="default"/>
      </w:rPr>
    </w:lvl>
  </w:abstractNum>
  <w:abstractNum w:abstractNumId="9">
    <w:nsid w:val="FFFFFF88"/>
    <w:multiLevelType w:val="singleLevel"/>
    <w:tmpl w:val="3A6819C4"/>
    <w:lvl w:ilvl="0">
      <w:start w:val="1"/>
      <w:numFmt w:val="decimal"/>
      <w:lvlText w:val="%1."/>
      <w:lvlJc w:val="left"/>
      <w:pPr>
        <w:tabs>
          <w:tab w:val="num" w:pos="360"/>
        </w:tabs>
        <w:ind w:left="360" w:hanging="360"/>
      </w:pPr>
    </w:lvl>
  </w:abstractNum>
  <w:abstractNum w:abstractNumId="10">
    <w:nsid w:val="FFFFFF89"/>
    <w:multiLevelType w:val="singleLevel"/>
    <w:tmpl w:val="82CC6DBC"/>
    <w:lvl w:ilvl="0">
      <w:start w:val="1"/>
      <w:numFmt w:val="bullet"/>
      <w:lvlText w:val=""/>
      <w:lvlJc w:val="left"/>
      <w:pPr>
        <w:tabs>
          <w:tab w:val="num" w:pos="360"/>
        </w:tabs>
        <w:ind w:left="360" w:hanging="360"/>
      </w:pPr>
      <w:rPr>
        <w:rFonts w:ascii="Symbol" w:hAnsi="Symbol" w:hint="default"/>
      </w:rPr>
    </w:lvl>
  </w:abstractNum>
  <w:abstractNum w:abstractNumId="11">
    <w:nsid w:val="00000001"/>
    <w:multiLevelType w:val="multilevel"/>
    <w:tmpl w:val="00000001"/>
    <w:lvl w:ilvl="0">
      <w:start w:val="1"/>
      <w:numFmt w:val="none"/>
      <w:pStyle w:val="Heading1"/>
      <w:suff w:val="nothing"/>
      <w:lvlText w:val=""/>
      <w:lvlJc w:val="left"/>
      <w:pPr>
        <w:tabs>
          <w:tab w:val="num" w:pos="0"/>
        </w:tabs>
      </w:pPr>
      <w:rPr>
        <w:rFonts w:cs="Times New Roman"/>
      </w:rPr>
    </w:lvl>
    <w:lvl w:ilvl="1">
      <w:start w:val="1"/>
      <w:numFmt w:val="none"/>
      <w:pStyle w:val="Heading2"/>
      <w:suff w:val="nothing"/>
      <w:lvlText w:val=""/>
      <w:lvlJc w:val="left"/>
      <w:pPr>
        <w:tabs>
          <w:tab w:val="num" w:pos="0"/>
        </w:tabs>
      </w:pPr>
      <w:rPr>
        <w:rFonts w:cs="Times New Roman"/>
      </w:rPr>
    </w:lvl>
    <w:lvl w:ilvl="2">
      <w:start w:val="1"/>
      <w:numFmt w:val="none"/>
      <w:pStyle w:val="Heading3"/>
      <w:suff w:val="nothing"/>
      <w:lvlText w:val=""/>
      <w:lvlJc w:val="left"/>
      <w:pPr>
        <w:tabs>
          <w:tab w:val="num" w:pos="0"/>
        </w:tabs>
      </w:pPr>
      <w:rPr>
        <w:rFonts w:cs="Times New Roman"/>
      </w:rPr>
    </w:lvl>
    <w:lvl w:ilvl="3">
      <w:start w:val="1"/>
      <w:numFmt w:val="none"/>
      <w:pStyle w:val="Heading4"/>
      <w:suff w:val="nothing"/>
      <w:lvlText w:val=""/>
      <w:lvlJc w:val="left"/>
      <w:pPr>
        <w:tabs>
          <w:tab w:val="num" w:pos="0"/>
        </w:tabs>
      </w:pPr>
      <w:rPr>
        <w:rFonts w:cs="Times New Roman"/>
      </w:rPr>
    </w:lvl>
    <w:lvl w:ilvl="4">
      <w:start w:val="1"/>
      <w:numFmt w:val="none"/>
      <w:pStyle w:val="Heading5"/>
      <w:suff w:val="nothing"/>
      <w:lvlText w:val=""/>
      <w:lvlJc w:val="left"/>
      <w:pPr>
        <w:tabs>
          <w:tab w:val="num" w:pos="0"/>
        </w:tabs>
      </w:pPr>
      <w:rPr>
        <w:rFonts w:cs="Times New Roman"/>
      </w:rPr>
    </w:lvl>
    <w:lvl w:ilvl="5">
      <w:start w:val="1"/>
      <w:numFmt w:val="none"/>
      <w:pStyle w:val="Heading6"/>
      <w:suff w:val="nothing"/>
      <w:lvlText w:val=""/>
      <w:lvlJc w:val="left"/>
      <w:pPr>
        <w:tabs>
          <w:tab w:val="num" w:pos="0"/>
        </w:tabs>
      </w:pPr>
      <w:rPr>
        <w:rFonts w:cs="Times New Roman"/>
      </w:rPr>
    </w:lvl>
    <w:lvl w:ilvl="6">
      <w:start w:val="1"/>
      <w:numFmt w:val="none"/>
      <w:pStyle w:val="Heading7"/>
      <w:suff w:val="nothing"/>
      <w:lvlText w:val=""/>
      <w:lvlJc w:val="left"/>
      <w:pPr>
        <w:tabs>
          <w:tab w:val="num" w:pos="0"/>
        </w:tabs>
      </w:pPr>
      <w:rPr>
        <w:rFonts w:cs="Times New Roman"/>
      </w:rPr>
    </w:lvl>
    <w:lvl w:ilvl="7">
      <w:start w:val="1"/>
      <w:numFmt w:val="none"/>
      <w:pStyle w:val="Heading8"/>
      <w:suff w:val="nothing"/>
      <w:lvlText w:val=""/>
      <w:lvlJc w:val="left"/>
      <w:pPr>
        <w:tabs>
          <w:tab w:val="num" w:pos="0"/>
        </w:tabs>
      </w:pPr>
      <w:rPr>
        <w:rFonts w:cs="Times New Roman"/>
      </w:rPr>
    </w:lvl>
    <w:lvl w:ilvl="8">
      <w:start w:val="1"/>
      <w:numFmt w:val="none"/>
      <w:pStyle w:val="Heading9"/>
      <w:suff w:val="nothing"/>
      <w:lvlText w:val=""/>
      <w:lvlJc w:val="left"/>
      <w:pPr>
        <w:tabs>
          <w:tab w:val="num" w:pos="0"/>
        </w:tabs>
      </w:pPr>
      <w:rPr>
        <w:rFonts w:cs="Times New Roman"/>
      </w:rPr>
    </w:lvl>
  </w:abstractNum>
  <w:abstractNum w:abstractNumId="12">
    <w:nsid w:val="13722CD9"/>
    <w:multiLevelType w:val="hybridMultilevel"/>
    <w:tmpl w:val="B3A8A968"/>
    <w:lvl w:ilvl="0" w:tplc="F3024144">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13C10880"/>
    <w:multiLevelType w:val="multilevel"/>
    <w:tmpl w:val="615212AA"/>
    <w:lvl w:ilvl="0">
      <w:start w:val="1"/>
      <w:numFmt w:val="decimal"/>
      <w:suff w:val="space"/>
      <w:lvlText w:val="%1."/>
      <w:lvlJc w:val="left"/>
      <w:pPr>
        <w:ind w:left="596" w:hanging="454"/>
      </w:pPr>
      <w:rPr>
        <w:rFonts w:hint="default"/>
      </w:rPr>
    </w:lvl>
    <w:lvl w:ilvl="1">
      <w:start w:val="1"/>
      <w:numFmt w:val="decimal"/>
      <w:suff w:val="space"/>
      <w:lvlText w:val="%1.%2"/>
      <w:lvlJc w:val="left"/>
      <w:pPr>
        <w:ind w:left="3005" w:hanging="3005"/>
      </w:pPr>
      <w:rPr>
        <w:rFonts w:hint="default"/>
      </w:rPr>
    </w:lvl>
    <w:lvl w:ilvl="2">
      <w:start w:val="1"/>
      <w:numFmt w:val="decimal"/>
      <w:suff w:val="space"/>
      <w:lvlText w:val="1.1.%3"/>
      <w:lvlJc w:val="left"/>
      <w:pPr>
        <w:ind w:left="454" w:hanging="454"/>
      </w:pPr>
      <w:rPr>
        <w:rFonts w:hint="default"/>
      </w:rPr>
    </w:lvl>
    <w:lvl w:ilvl="3">
      <w:start w:val="1"/>
      <w:numFmt w:val="none"/>
      <w:lvlText w:val="%4."/>
      <w:lvlJc w:val="left"/>
      <w:pPr>
        <w:tabs>
          <w:tab w:val="num" w:pos="2517"/>
        </w:tabs>
        <w:ind w:left="2880" w:hanging="2880"/>
      </w:pPr>
      <w:rPr>
        <w:rFonts w:hint="default"/>
      </w:rPr>
    </w:lvl>
    <w:lvl w:ilvl="4">
      <w:start w:val="1"/>
      <w:numFmt w:val="none"/>
      <w:lvlText w:val="%5."/>
      <w:lvlJc w:val="left"/>
      <w:pPr>
        <w:tabs>
          <w:tab w:val="num" w:pos="3238"/>
        </w:tabs>
        <w:ind w:left="3600" w:hanging="360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nsid w:val="17CD58A3"/>
    <w:multiLevelType w:val="hybridMultilevel"/>
    <w:tmpl w:val="3A7898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2609613D"/>
    <w:multiLevelType w:val="hybridMultilevel"/>
    <w:tmpl w:val="7BFC14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2F341EE7"/>
    <w:multiLevelType w:val="multilevel"/>
    <w:tmpl w:val="AF1C5664"/>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32257015"/>
    <w:multiLevelType w:val="multilevel"/>
    <w:tmpl w:val="7FE872A6"/>
    <w:lvl w:ilvl="0">
      <w:start w:val="1"/>
      <w:numFmt w:val="bullet"/>
      <w:lvlText w:val=""/>
      <w:lvlJc w:val="left"/>
      <w:pPr>
        <w:ind w:left="284" w:hanging="284"/>
      </w:pPr>
      <w:rPr>
        <w:rFonts w:ascii="Symbol" w:hAnsi="Symbol" w:hint="default"/>
      </w:rPr>
    </w:lvl>
    <w:lvl w:ilvl="1">
      <w:start w:val="1"/>
      <w:numFmt w:val="bullet"/>
      <w:lvlText w:val=""/>
      <w:lvlJc w:val="left"/>
      <w:pPr>
        <w:tabs>
          <w:tab w:val="num" w:pos="567"/>
        </w:tabs>
        <w:ind w:left="567" w:hanging="283"/>
      </w:pPr>
      <w:rPr>
        <w:rFonts w:ascii="Symbol" w:hAnsi="Symbol" w:hint="default"/>
      </w:rPr>
    </w:lvl>
    <w:lvl w:ilvl="2">
      <w:start w:val="1"/>
      <w:numFmt w:val="bullet"/>
      <w:pStyle w:val="RTIndentedBulletText"/>
      <w:lvlText w:val=""/>
      <w:lvlJc w:val="left"/>
      <w:pPr>
        <w:ind w:left="2160" w:hanging="360"/>
      </w:pPr>
      <w:rPr>
        <w:rFonts w:ascii="Symbol" w:hAnsi="Symbol"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8">
    <w:nsid w:val="3EFC0EB4"/>
    <w:multiLevelType w:val="hybridMultilevel"/>
    <w:tmpl w:val="79E0F8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571877A7"/>
    <w:multiLevelType w:val="hybridMultilevel"/>
    <w:tmpl w:val="195069D8"/>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5C113960"/>
    <w:multiLevelType w:val="multilevel"/>
    <w:tmpl w:val="9C92F846"/>
    <w:lvl w:ilvl="0">
      <w:start w:val="1"/>
      <w:numFmt w:val="bullet"/>
      <w:lvlText w:val=""/>
      <w:lvlJc w:val="left"/>
      <w:pPr>
        <w:ind w:left="284" w:hanging="284"/>
      </w:pPr>
      <w:rPr>
        <w:rFonts w:ascii="Symbol" w:hAnsi="Symbol" w:hint="default"/>
      </w:rPr>
    </w:lvl>
    <w:lvl w:ilvl="1">
      <w:start w:val="1"/>
      <w:numFmt w:val="bullet"/>
      <w:pStyle w:val="RTBulletText"/>
      <w:lvlText w:val=""/>
      <w:lvlJc w:val="left"/>
      <w:pPr>
        <w:tabs>
          <w:tab w:val="num" w:pos="567"/>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1">
    <w:nsid w:val="5E496B79"/>
    <w:multiLevelType w:val="multilevel"/>
    <w:tmpl w:val="021E8826"/>
    <w:lvl w:ilvl="0">
      <w:start w:val="1"/>
      <w:numFmt w:val="bullet"/>
      <w:lvlText w:val=""/>
      <w:lvlJc w:val="left"/>
      <w:pPr>
        <w:ind w:left="284" w:hanging="284"/>
      </w:pPr>
      <w:rPr>
        <w:rFonts w:ascii="Symbol" w:hAnsi="Symbol" w:hint="default"/>
      </w:rPr>
    </w:lvl>
    <w:lvl w:ilvl="1">
      <w:start w:val="1"/>
      <w:numFmt w:val="bullet"/>
      <w:lvlText w:val=""/>
      <w:lvlJc w:val="left"/>
      <w:pPr>
        <w:tabs>
          <w:tab w:val="num" w:pos="567"/>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2">
    <w:nsid w:val="6C276C7C"/>
    <w:multiLevelType w:val="multilevel"/>
    <w:tmpl w:val="050885A4"/>
    <w:styleLink w:val="RTNumberedList"/>
    <w:lvl w:ilvl="0">
      <w:start w:val="1"/>
      <w:numFmt w:val="decimal"/>
      <w:pStyle w:val="RTTitlenumbered"/>
      <w:suff w:val="space"/>
      <w:lvlText w:val="%1."/>
      <w:lvlJc w:val="left"/>
      <w:pPr>
        <w:ind w:left="879" w:hanging="454"/>
      </w:pPr>
      <w:rPr>
        <w:rFonts w:hint="default"/>
      </w:rPr>
    </w:lvl>
    <w:lvl w:ilvl="1">
      <w:start w:val="1"/>
      <w:numFmt w:val="decimal"/>
      <w:pStyle w:val="RTNumberedHeading"/>
      <w:suff w:val="space"/>
      <w:lvlText w:val="%1.%2"/>
      <w:lvlJc w:val="left"/>
      <w:pPr>
        <w:ind w:left="8443" w:hanging="2863"/>
      </w:pPr>
      <w:rPr>
        <w:rFonts w:hint="default"/>
      </w:rPr>
    </w:lvl>
    <w:lvl w:ilvl="2">
      <w:start w:val="1"/>
      <w:numFmt w:val="decimal"/>
      <w:pStyle w:val="RTNumberedSubheading"/>
      <w:suff w:val="space"/>
      <w:lvlText w:val="%1.%2.%3"/>
      <w:lvlJc w:val="left"/>
      <w:pPr>
        <w:ind w:left="312" w:hanging="312"/>
      </w:pPr>
      <w:rPr>
        <w:rFonts w:hint="default"/>
      </w:rPr>
    </w:lvl>
    <w:lvl w:ilvl="3">
      <w:start w:val="1"/>
      <w:numFmt w:val="none"/>
      <w:lvlText w:val="%4."/>
      <w:lvlJc w:val="left"/>
      <w:pPr>
        <w:tabs>
          <w:tab w:val="num" w:pos="7956"/>
        </w:tabs>
        <w:ind w:left="8318" w:hanging="2738"/>
      </w:pPr>
      <w:rPr>
        <w:rFonts w:hint="default"/>
      </w:rPr>
    </w:lvl>
    <w:lvl w:ilvl="4">
      <w:start w:val="1"/>
      <w:numFmt w:val="none"/>
      <w:lvlText w:val="%5."/>
      <w:lvlJc w:val="left"/>
      <w:pPr>
        <w:tabs>
          <w:tab w:val="num" w:pos="8676"/>
        </w:tabs>
        <w:ind w:left="9038" w:hanging="3458"/>
      </w:pPr>
      <w:rPr>
        <w:rFonts w:hint="default"/>
      </w:rPr>
    </w:lvl>
    <w:lvl w:ilvl="5">
      <w:start w:val="1"/>
      <w:numFmt w:val="lowerRoman"/>
      <w:lvlText w:val="%6."/>
      <w:lvlJc w:val="right"/>
      <w:pPr>
        <w:ind w:left="9758" w:hanging="180"/>
      </w:pPr>
      <w:rPr>
        <w:rFonts w:hint="default"/>
      </w:rPr>
    </w:lvl>
    <w:lvl w:ilvl="6">
      <w:start w:val="1"/>
      <w:numFmt w:val="decimal"/>
      <w:lvlText w:val="%7."/>
      <w:lvlJc w:val="left"/>
      <w:pPr>
        <w:ind w:left="10478" w:hanging="360"/>
      </w:pPr>
      <w:rPr>
        <w:rFonts w:hint="default"/>
      </w:rPr>
    </w:lvl>
    <w:lvl w:ilvl="7">
      <w:start w:val="1"/>
      <w:numFmt w:val="lowerLetter"/>
      <w:lvlText w:val="%8."/>
      <w:lvlJc w:val="left"/>
      <w:pPr>
        <w:ind w:left="11198" w:hanging="360"/>
      </w:pPr>
      <w:rPr>
        <w:rFonts w:hint="default"/>
      </w:rPr>
    </w:lvl>
    <w:lvl w:ilvl="8">
      <w:start w:val="1"/>
      <w:numFmt w:val="lowerRoman"/>
      <w:lvlText w:val="%9."/>
      <w:lvlJc w:val="right"/>
      <w:pPr>
        <w:ind w:left="11918" w:hanging="180"/>
      </w:pPr>
      <w:rPr>
        <w:rFonts w:hint="default"/>
      </w:rPr>
    </w:lvl>
  </w:abstractNum>
  <w:abstractNum w:abstractNumId="23">
    <w:nsid w:val="72EB7810"/>
    <w:multiLevelType w:val="multilevel"/>
    <w:tmpl w:val="6D000EB8"/>
    <w:styleLink w:val="Bulletlist"/>
    <w:lvl w:ilvl="0">
      <w:start w:val="1"/>
      <w:numFmt w:val="bullet"/>
      <w:lvlText w:val="–"/>
      <w:lvlJc w:val="left"/>
      <w:pPr>
        <w:tabs>
          <w:tab w:val="num" w:pos="284"/>
        </w:tabs>
        <w:ind w:left="284" w:hanging="284"/>
      </w:pPr>
      <w:rPr>
        <w:rFonts w:ascii="Georgia" w:hAnsi="Georgia" w:hint="default"/>
        <w:sz w:val="20"/>
      </w:rPr>
    </w:lvl>
    <w:lvl w:ilvl="1">
      <w:start w:val="1"/>
      <w:numFmt w:val="bullet"/>
      <w:lvlText w:val="–"/>
      <w:lvlJc w:val="left"/>
      <w:pPr>
        <w:tabs>
          <w:tab w:val="num" w:pos="567"/>
        </w:tabs>
        <w:ind w:left="567" w:hanging="283"/>
      </w:pPr>
      <w:rPr>
        <w:rFonts w:ascii="Georgia" w:hAnsi="Georgia" w:hint="default"/>
        <w:sz w:val="26"/>
      </w:rPr>
    </w:lvl>
    <w:lvl w:ilvl="2">
      <w:start w:val="1"/>
      <w:numFmt w:val="bullet"/>
      <w:lvlText w:val="–"/>
      <w:lvlJc w:val="left"/>
      <w:pPr>
        <w:tabs>
          <w:tab w:val="num" w:pos="851"/>
        </w:tabs>
        <w:ind w:left="851" w:hanging="284"/>
      </w:pPr>
      <w:rPr>
        <w:rFonts w:ascii="Georgia" w:hAnsi="Georgia" w:hint="default"/>
        <w:sz w:val="26"/>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num w:numId="1">
    <w:abstractNumId w:val="23"/>
  </w:num>
  <w:num w:numId="2">
    <w:abstractNumId w:val="11"/>
  </w:num>
  <w:num w:numId="3">
    <w:abstractNumId w:val="22"/>
  </w:num>
  <w:num w:numId="4">
    <w:abstractNumId w:val="20"/>
  </w:num>
  <w:num w:numId="5">
    <w:abstractNumId w:val="16"/>
  </w:num>
  <w:num w:numId="6">
    <w:abstractNumId w:val="13"/>
  </w:num>
  <w:num w:numId="7">
    <w:abstractNumId w:val="20"/>
  </w:num>
  <w:num w:numId="8">
    <w:abstractNumId w:val="12"/>
  </w:num>
  <w:num w:numId="9">
    <w:abstractNumId w:val="21"/>
  </w:num>
  <w:num w:numId="10">
    <w:abstractNumId w:val="0"/>
  </w:num>
  <w:num w:numId="11">
    <w:abstractNumId w:val="17"/>
  </w:num>
  <w:num w:numId="12">
    <w:abstractNumId w:val="20"/>
  </w:num>
  <w:num w:numId="13">
    <w:abstractNumId w:val="20"/>
  </w:num>
  <w:num w:numId="14">
    <w:abstractNumId w:val="14"/>
  </w:num>
  <w:num w:numId="15">
    <w:abstractNumId w:val="19"/>
  </w:num>
  <w:num w:numId="16">
    <w:abstractNumId w:val="22"/>
  </w:num>
  <w:num w:numId="17">
    <w:abstractNumId w:val="10"/>
  </w:num>
  <w:num w:numId="18">
    <w:abstractNumId w:val="8"/>
  </w:num>
  <w:num w:numId="19">
    <w:abstractNumId w:val="7"/>
  </w:num>
  <w:num w:numId="20">
    <w:abstractNumId w:val="6"/>
  </w:num>
  <w:num w:numId="21">
    <w:abstractNumId w:val="5"/>
  </w:num>
  <w:num w:numId="22">
    <w:abstractNumId w:val="9"/>
  </w:num>
  <w:num w:numId="23">
    <w:abstractNumId w:val="4"/>
  </w:num>
  <w:num w:numId="24">
    <w:abstractNumId w:val="3"/>
  </w:num>
  <w:num w:numId="25">
    <w:abstractNumId w:val="2"/>
  </w:num>
  <w:num w:numId="26">
    <w:abstractNumId w:val="1"/>
  </w:num>
  <w:num w:numId="27">
    <w:abstractNumId w:val="15"/>
  </w:num>
  <w:num w:numId="28">
    <w:abstractNumId w:val="18"/>
  </w:num>
  <w:numIdMacAtCleanup w:val="7"/>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Jaime Todd-Gher">
    <w15:presenceInfo w15:providerId="AD" w15:userId="S-1-5-21-41138708-3051471625-601936568-1549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styleLockTheme/>
  <w:styleLockQFSet/>
  <w:defaultTabStop w:val="720"/>
  <w:hyphenationZone w:val="425"/>
  <w:doNotShadeFormData/>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B14DE"/>
    <w:rsid w:val="00001AFE"/>
    <w:rsid w:val="00001E28"/>
    <w:rsid w:val="00004AF1"/>
    <w:rsid w:val="000074DE"/>
    <w:rsid w:val="00010B9A"/>
    <w:rsid w:val="00011D35"/>
    <w:rsid w:val="000121EA"/>
    <w:rsid w:val="00013B24"/>
    <w:rsid w:val="00020B73"/>
    <w:rsid w:val="00020CA5"/>
    <w:rsid w:val="00021635"/>
    <w:rsid w:val="000228E2"/>
    <w:rsid w:val="00031E6C"/>
    <w:rsid w:val="00037A48"/>
    <w:rsid w:val="00041D51"/>
    <w:rsid w:val="00044522"/>
    <w:rsid w:val="0004666B"/>
    <w:rsid w:val="00050C97"/>
    <w:rsid w:val="0005440E"/>
    <w:rsid w:val="000552CE"/>
    <w:rsid w:val="00056B0F"/>
    <w:rsid w:val="0005702B"/>
    <w:rsid w:val="00063791"/>
    <w:rsid w:val="00064738"/>
    <w:rsid w:val="00066D45"/>
    <w:rsid w:val="000677CE"/>
    <w:rsid w:val="00070D90"/>
    <w:rsid w:val="00073897"/>
    <w:rsid w:val="00074BB7"/>
    <w:rsid w:val="00075016"/>
    <w:rsid w:val="00083118"/>
    <w:rsid w:val="0008733C"/>
    <w:rsid w:val="000876F2"/>
    <w:rsid w:val="00091A13"/>
    <w:rsid w:val="0009319E"/>
    <w:rsid w:val="000A1E61"/>
    <w:rsid w:val="000A1F57"/>
    <w:rsid w:val="000A334D"/>
    <w:rsid w:val="000A400C"/>
    <w:rsid w:val="000A5A84"/>
    <w:rsid w:val="000B045C"/>
    <w:rsid w:val="000B2586"/>
    <w:rsid w:val="000C0EC8"/>
    <w:rsid w:val="000C1692"/>
    <w:rsid w:val="000C4DE6"/>
    <w:rsid w:val="000C643F"/>
    <w:rsid w:val="000D0B83"/>
    <w:rsid w:val="000D1016"/>
    <w:rsid w:val="000D2F33"/>
    <w:rsid w:val="000D4AF3"/>
    <w:rsid w:val="000E41E9"/>
    <w:rsid w:val="000F12A9"/>
    <w:rsid w:val="000F4A5C"/>
    <w:rsid w:val="0010145E"/>
    <w:rsid w:val="00102314"/>
    <w:rsid w:val="00104EBF"/>
    <w:rsid w:val="001070A5"/>
    <w:rsid w:val="001079FA"/>
    <w:rsid w:val="001122B7"/>
    <w:rsid w:val="00112555"/>
    <w:rsid w:val="00112BE4"/>
    <w:rsid w:val="0012413A"/>
    <w:rsid w:val="0014127F"/>
    <w:rsid w:val="00143477"/>
    <w:rsid w:val="00143E52"/>
    <w:rsid w:val="001469C1"/>
    <w:rsid w:val="001515FC"/>
    <w:rsid w:val="00151DF6"/>
    <w:rsid w:val="00152840"/>
    <w:rsid w:val="001540E7"/>
    <w:rsid w:val="00163309"/>
    <w:rsid w:val="001636E1"/>
    <w:rsid w:val="00171563"/>
    <w:rsid w:val="00171BE5"/>
    <w:rsid w:val="00175A91"/>
    <w:rsid w:val="001839CF"/>
    <w:rsid w:val="001853C3"/>
    <w:rsid w:val="00186842"/>
    <w:rsid w:val="0018775C"/>
    <w:rsid w:val="00192C92"/>
    <w:rsid w:val="00195001"/>
    <w:rsid w:val="00195BB5"/>
    <w:rsid w:val="00195E54"/>
    <w:rsid w:val="00195E5B"/>
    <w:rsid w:val="001A0C45"/>
    <w:rsid w:val="001A1DC8"/>
    <w:rsid w:val="001A2F2C"/>
    <w:rsid w:val="001A5200"/>
    <w:rsid w:val="001A5C77"/>
    <w:rsid w:val="001B0115"/>
    <w:rsid w:val="001B14DE"/>
    <w:rsid w:val="001B36C0"/>
    <w:rsid w:val="001B52F6"/>
    <w:rsid w:val="001B5580"/>
    <w:rsid w:val="001B677B"/>
    <w:rsid w:val="001B7F84"/>
    <w:rsid w:val="001C2B07"/>
    <w:rsid w:val="001C3B6D"/>
    <w:rsid w:val="001D35EE"/>
    <w:rsid w:val="001D7793"/>
    <w:rsid w:val="001D7DAE"/>
    <w:rsid w:val="001E0637"/>
    <w:rsid w:val="001E4B32"/>
    <w:rsid w:val="001E4CE0"/>
    <w:rsid w:val="001E5959"/>
    <w:rsid w:val="001E67CE"/>
    <w:rsid w:val="001F0A9B"/>
    <w:rsid w:val="001F0D99"/>
    <w:rsid w:val="001F3AE3"/>
    <w:rsid w:val="001F4A49"/>
    <w:rsid w:val="001F6BBE"/>
    <w:rsid w:val="00202875"/>
    <w:rsid w:val="00205601"/>
    <w:rsid w:val="002075EA"/>
    <w:rsid w:val="00207EC9"/>
    <w:rsid w:val="0021094A"/>
    <w:rsid w:val="00211DB0"/>
    <w:rsid w:val="00212A6C"/>
    <w:rsid w:val="00220598"/>
    <w:rsid w:val="00222A74"/>
    <w:rsid w:val="00225DAE"/>
    <w:rsid w:val="0023128F"/>
    <w:rsid w:val="0023267A"/>
    <w:rsid w:val="0023291A"/>
    <w:rsid w:val="00233020"/>
    <w:rsid w:val="00233491"/>
    <w:rsid w:val="00237DB3"/>
    <w:rsid w:val="002402A8"/>
    <w:rsid w:val="00241463"/>
    <w:rsid w:val="00243887"/>
    <w:rsid w:val="002442B0"/>
    <w:rsid w:val="0024741F"/>
    <w:rsid w:val="0026621C"/>
    <w:rsid w:val="00267718"/>
    <w:rsid w:val="00270DD6"/>
    <w:rsid w:val="0027322B"/>
    <w:rsid w:val="002735ED"/>
    <w:rsid w:val="002752EA"/>
    <w:rsid w:val="00276127"/>
    <w:rsid w:val="00276BB0"/>
    <w:rsid w:val="002808CF"/>
    <w:rsid w:val="0028112E"/>
    <w:rsid w:val="00290107"/>
    <w:rsid w:val="002908C3"/>
    <w:rsid w:val="00290B00"/>
    <w:rsid w:val="0029121E"/>
    <w:rsid w:val="002919C3"/>
    <w:rsid w:val="00293B3F"/>
    <w:rsid w:val="002947D1"/>
    <w:rsid w:val="002954DB"/>
    <w:rsid w:val="002975C4"/>
    <w:rsid w:val="002A0A52"/>
    <w:rsid w:val="002A172F"/>
    <w:rsid w:val="002A3006"/>
    <w:rsid w:val="002A4641"/>
    <w:rsid w:val="002B38F9"/>
    <w:rsid w:val="002B6018"/>
    <w:rsid w:val="002C12B8"/>
    <w:rsid w:val="002C1305"/>
    <w:rsid w:val="002C1EB5"/>
    <w:rsid w:val="002C2AE7"/>
    <w:rsid w:val="002C2DB2"/>
    <w:rsid w:val="002C3B2E"/>
    <w:rsid w:val="002D0DBB"/>
    <w:rsid w:val="002D4B9D"/>
    <w:rsid w:val="002D5CD0"/>
    <w:rsid w:val="002D7F94"/>
    <w:rsid w:val="002E16BE"/>
    <w:rsid w:val="002E3EDC"/>
    <w:rsid w:val="002E4582"/>
    <w:rsid w:val="002E6104"/>
    <w:rsid w:val="002E6F00"/>
    <w:rsid w:val="002E7B1B"/>
    <w:rsid w:val="002F1095"/>
    <w:rsid w:val="002F10AC"/>
    <w:rsid w:val="002F1FAB"/>
    <w:rsid w:val="002F688D"/>
    <w:rsid w:val="002F7AC6"/>
    <w:rsid w:val="00301979"/>
    <w:rsid w:val="00312B00"/>
    <w:rsid w:val="003146DE"/>
    <w:rsid w:val="0032015C"/>
    <w:rsid w:val="00321B9F"/>
    <w:rsid w:val="003231DE"/>
    <w:rsid w:val="00331381"/>
    <w:rsid w:val="00331D30"/>
    <w:rsid w:val="00333BB1"/>
    <w:rsid w:val="00333D05"/>
    <w:rsid w:val="00333FF2"/>
    <w:rsid w:val="0033582C"/>
    <w:rsid w:val="0033667F"/>
    <w:rsid w:val="003374CB"/>
    <w:rsid w:val="00337B08"/>
    <w:rsid w:val="00337FA3"/>
    <w:rsid w:val="0034157E"/>
    <w:rsid w:val="00342465"/>
    <w:rsid w:val="00344B61"/>
    <w:rsid w:val="00346DC4"/>
    <w:rsid w:val="003470C1"/>
    <w:rsid w:val="00350286"/>
    <w:rsid w:val="00352B3F"/>
    <w:rsid w:val="003558BA"/>
    <w:rsid w:val="00365FE4"/>
    <w:rsid w:val="00366CB8"/>
    <w:rsid w:val="00366DBF"/>
    <w:rsid w:val="00370820"/>
    <w:rsid w:val="00370D45"/>
    <w:rsid w:val="00371005"/>
    <w:rsid w:val="003715C3"/>
    <w:rsid w:val="00374C63"/>
    <w:rsid w:val="00374CF4"/>
    <w:rsid w:val="00375465"/>
    <w:rsid w:val="00377889"/>
    <w:rsid w:val="003801BE"/>
    <w:rsid w:val="00381DF8"/>
    <w:rsid w:val="003820C2"/>
    <w:rsid w:val="0038299B"/>
    <w:rsid w:val="00385EE2"/>
    <w:rsid w:val="003860A9"/>
    <w:rsid w:val="0039063C"/>
    <w:rsid w:val="0039154C"/>
    <w:rsid w:val="00392423"/>
    <w:rsid w:val="00396A31"/>
    <w:rsid w:val="003A1223"/>
    <w:rsid w:val="003A1373"/>
    <w:rsid w:val="003A264E"/>
    <w:rsid w:val="003A31A1"/>
    <w:rsid w:val="003A5C42"/>
    <w:rsid w:val="003A6152"/>
    <w:rsid w:val="003A78E2"/>
    <w:rsid w:val="003A78ED"/>
    <w:rsid w:val="003A7C7C"/>
    <w:rsid w:val="003B1E31"/>
    <w:rsid w:val="003B352A"/>
    <w:rsid w:val="003B398C"/>
    <w:rsid w:val="003B5467"/>
    <w:rsid w:val="003B70DA"/>
    <w:rsid w:val="003B7167"/>
    <w:rsid w:val="003C08D2"/>
    <w:rsid w:val="003C38B1"/>
    <w:rsid w:val="003C514F"/>
    <w:rsid w:val="003C5417"/>
    <w:rsid w:val="003D24E3"/>
    <w:rsid w:val="003D29C6"/>
    <w:rsid w:val="003D3B3C"/>
    <w:rsid w:val="003D3F9D"/>
    <w:rsid w:val="003D50EB"/>
    <w:rsid w:val="003D67C7"/>
    <w:rsid w:val="003D717F"/>
    <w:rsid w:val="003E12E3"/>
    <w:rsid w:val="003E336B"/>
    <w:rsid w:val="003E3E74"/>
    <w:rsid w:val="003E4457"/>
    <w:rsid w:val="003E48D2"/>
    <w:rsid w:val="003E4A5D"/>
    <w:rsid w:val="003E6A15"/>
    <w:rsid w:val="003E6CDA"/>
    <w:rsid w:val="003E750C"/>
    <w:rsid w:val="003F077F"/>
    <w:rsid w:val="003F1A08"/>
    <w:rsid w:val="00400D07"/>
    <w:rsid w:val="004070E1"/>
    <w:rsid w:val="0040739C"/>
    <w:rsid w:val="004102CC"/>
    <w:rsid w:val="0041113E"/>
    <w:rsid w:val="0041288B"/>
    <w:rsid w:val="00412C59"/>
    <w:rsid w:val="00413D53"/>
    <w:rsid w:val="00415290"/>
    <w:rsid w:val="0042159A"/>
    <w:rsid w:val="00422166"/>
    <w:rsid w:val="00423357"/>
    <w:rsid w:val="00423450"/>
    <w:rsid w:val="004239DB"/>
    <w:rsid w:val="00427FAE"/>
    <w:rsid w:val="0043158B"/>
    <w:rsid w:val="00435420"/>
    <w:rsid w:val="0043778C"/>
    <w:rsid w:val="00443A83"/>
    <w:rsid w:val="00444156"/>
    <w:rsid w:val="00444FA5"/>
    <w:rsid w:val="00450DD5"/>
    <w:rsid w:val="0045157D"/>
    <w:rsid w:val="0045214F"/>
    <w:rsid w:val="00453632"/>
    <w:rsid w:val="004609F2"/>
    <w:rsid w:val="00462C20"/>
    <w:rsid w:val="00464A63"/>
    <w:rsid w:val="00466341"/>
    <w:rsid w:val="00467DA9"/>
    <w:rsid w:val="00467DAC"/>
    <w:rsid w:val="0047038B"/>
    <w:rsid w:val="00471EB5"/>
    <w:rsid w:val="00472AC5"/>
    <w:rsid w:val="00472CD3"/>
    <w:rsid w:val="00477B1D"/>
    <w:rsid w:val="00480072"/>
    <w:rsid w:val="00480D1E"/>
    <w:rsid w:val="004810CD"/>
    <w:rsid w:val="00482F55"/>
    <w:rsid w:val="00484B7A"/>
    <w:rsid w:val="004865A2"/>
    <w:rsid w:val="004920DD"/>
    <w:rsid w:val="00492EFF"/>
    <w:rsid w:val="0049688D"/>
    <w:rsid w:val="00497B1B"/>
    <w:rsid w:val="004A0B27"/>
    <w:rsid w:val="004A5B85"/>
    <w:rsid w:val="004B217C"/>
    <w:rsid w:val="004B518C"/>
    <w:rsid w:val="004C3909"/>
    <w:rsid w:val="004C4591"/>
    <w:rsid w:val="004C45E5"/>
    <w:rsid w:val="004D456B"/>
    <w:rsid w:val="004D46FC"/>
    <w:rsid w:val="004E05CC"/>
    <w:rsid w:val="004E1533"/>
    <w:rsid w:val="004E2AF9"/>
    <w:rsid w:val="004E5F02"/>
    <w:rsid w:val="004E7FB8"/>
    <w:rsid w:val="004F0A1E"/>
    <w:rsid w:val="004F0BAD"/>
    <w:rsid w:val="004F5223"/>
    <w:rsid w:val="004F6E65"/>
    <w:rsid w:val="004F74DF"/>
    <w:rsid w:val="00504542"/>
    <w:rsid w:val="00506982"/>
    <w:rsid w:val="0051664F"/>
    <w:rsid w:val="00516FC6"/>
    <w:rsid w:val="00516FE1"/>
    <w:rsid w:val="00517279"/>
    <w:rsid w:val="00517531"/>
    <w:rsid w:val="00520664"/>
    <w:rsid w:val="00522421"/>
    <w:rsid w:val="005302EC"/>
    <w:rsid w:val="00530512"/>
    <w:rsid w:val="00530B26"/>
    <w:rsid w:val="00533C9F"/>
    <w:rsid w:val="00541766"/>
    <w:rsid w:val="00541B1B"/>
    <w:rsid w:val="00551B8D"/>
    <w:rsid w:val="00551C87"/>
    <w:rsid w:val="00552504"/>
    <w:rsid w:val="00552CB7"/>
    <w:rsid w:val="00554F19"/>
    <w:rsid w:val="0055523D"/>
    <w:rsid w:val="00555466"/>
    <w:rsid w:val="00556B5A"/>
    <w:rsid w:val="005570C4"/>
    <w:rsid w:val="00560F96"/>
    <w:rsid w:val="0056154C"/>
    <w:rsid w:val="005618E1"/>
    <w:rsid w:val="00561CA3"/>
    <w:rsid w:val="00561CAA"/>
    <w:rsid w:val="00572AC2"/>
    <w:rsid w:val="005745F5"/>
    <w:rsid w:val="0057638B"/>
    <w:rsid w:val="005770E0"/>
    <w:rsid w:val="00580D9C"/>
    <w:rsid w:val="005816FD"/>
    <w:rsid w:val="005844A9"/>
    <w:rsid w:val="005911DF"/>
    <w:rsid w:val="005926B1"/>
    <w:rsid w:val="00593FB7"/>
    <w:rsid w:val="0059641F"/>
    <w:rsid w:val="005973BC"/>
    <w:rsid w:val="00597C6F"/>
    <w:rsid w:val="005A0A32"/>
    <w:rsid w:val="005A14A2"/>
    <w:rsid w:val="005A1AEA"/>
    <w:rsid w:val="005A1D62"/>
    <w:rsid w:val="005A2018"/>
    <w:rsid w:val="005A2312"/>
    <w:rsid w:val="005A7E36"/>
    <w:rsid w:val="005B0318"/>
    <w:rsid w:val="005B144C"/>
    <w:rsid w:val="005B4DC5"/>
    <w:rsid w:val="005B7161"/>
    <w:rsid w:val="005B77B8"/>
    <w:rsid w:val="005B7C3C"/>
    <w:rsid w:val="005C21C8"/>
    <w:rsid w:val="005C376D"/>
    <w:rsid w:val="005C4391"/>
    <w:rsid w:val="005D0074"/>
    <w:rsid w:val="005D0702"/>
    <w:rsid w:val="005D0A5D"/>
    <w:rsid w:val="005E2166"/>
    <w:rsid w:val="005E2785"/>
    <w:rsid w:val="005E4489"/>
    <w:rsid w:val="005E795C"/>
    <w:rsid w:val="005F19C5"/>
    <w:rsid w:val="005F23DC"/>
    <w:rsid w:val="005F2544"/>
    <w:rsid w:val="005F2CBE"/>
    <w:rsid w:val="005F3E6D"/>
    <w:rsid w:val="005F4669"/>
    <w:rsid w:val="005F4BB2"/>
    <w:rsid w:val="005F58F2"/>
    <w:rsid w:val="005F618C"/>
    <w:rsid w:val="005F6947"/>
    <w:rsid w:val="00600EFC"/>
    <w:rsid w:val="00601E42"/>
    <w:rsid w:val="006068F7"/>
    <w:rsid w:val="00610B99"/>
    <w:rsid w:val="00611B1F"/>
    <w:rsid w:val="00614E17"/>
    <w:rsid w:val="00623F65"/>
    <w:rsid w:val="00627D13"/>
    <w:rsid w:val="00631ACD"/>
    <w:rsid w:val="00637A03"/>
    <w:rsid w:val="006418A3"/>
    <w:rsid w:val="00644F12"/>
    <w:rsid w:val="0064512A"/>
    <w:rsid w:val="00651887"/>
    <w:rsid w:val="0065267B"/>
    <w:rsid w:val="0065610A"/>
    <w:rsid w:val="006577DD"/>
    <w:rsid w:val="00666665"/>
    <w:rsid w:val="00666799"/>
    <w:rsid w:val="006669DB"/>
    <w:rsid w:val="0067671F"/>
    <w:rsid w:val="00676F54"/>
    <w:rsid w:val="00677EC2"/>
    <w:rsid w:val="00680DF0"/>
    <w:rsid w:val="00681F10"/>
    <w:rsid w:val="006835CC"/>
    <w:rsid w:val="00684BFB"/>
    <w:rsid w:val="006856B0"/>
    <w:rsid w:val="00687E66"/>
    <w:rsid w:val="006912F1"/>
    <w:rsid w:val="006961D4"/>
    <w:rsid w:val="006A09C0"/>
    <w:rsid w:val="006A35AA"/>
    <w:rsid w:val="006A385D"/>
    <w:rsid w:val="006A5595"/>
    <w:rsid w:val="006A5A86"/>
    <w:rsid w:val="006A6973"/>
    <w:rsid w:val="006A7E5C"/>
    <w:rsid w:val="006B114B"/>
    <w:rsid w:val="006B15A1"/>
    <w:rsid w:val="006B29BE"/>
    <w:rsid w:val="006C3DE5"/>
    <w:rsid w:val="006C6AF7"/>
    <w:rsid w:val="006C723E"/>
    <w:rsid w:val="006C7C34"/>
    <w:rsid w:val="006D0F3B"/>
    <w:rsid w:val="006D102C"/>
    <w:rsid w:val="006D168F"/>
    <w:rsid w:val="006D4842"/>
    <w:rsid w:val="006D7870"/>
    <w:rsid w:val="006E2757"/>
    <w:rsid w:val="006E47DD"/>
    <w:rsid w:val="006E65A6"/>
    <w:rsid w:val="006E6E61"/>
    <w:rsid w:val="006E75FA"/>
    <w:rsid w:val="006F167B"/>
    <w:rsid w:val="006F383E"/>
    <w:rsid w:val="006F4AE8"/>
    <w:rsid w:val="006F5B13"/>
    <w:rsid w:val="006F675D"/>
    <w:rsid w:val="006F7446"/>
    <w:rsid w:val="00704D0D"/>
    <w:rsid w:val="0070509E"/>
    <w:rsid w:val="00705BA4"/>
    <w:rsid w:val="00706917"/>
    <w:rsid w:val="007077E5"/>
    <w:rsid w:val="00707B8F"/>
    <w:rsid w:val="007103CB"/>
    <w:rsid w:val="00710AB3"/>
    <w:rsid w:val="00714815"/>
    <w:rsid w:val="00717CF5"/>
    <w:rsid w:val="007212D9"/>
    <w:rsid w:val="007213A2"/>
    <w:rsid w:val="00721401"/>
    <w:rsid w:val="0072355B"/>
    <w:rsid w:val="00730117"/>
    <w:rsid w:val="00735AD1"/>
    <w:rsid w:val="00736F4C"/>
    <w:rsid w:val="0075218E"/>
    <w:rsid w:val="00753A14"/>
    <w:rsid w:val="00753EB0"/>
    <w:rsid w:val="00753EB4"/>
    <w:rsid w:val="00757E9F"/>
    <w:rsid w:val="00763413"/>
    <w:rsid w:val="007703D9"/>
    <w:rsid w:val="00770B0C"/>
    <w:rsid w:val="007754F5"/>
    <w:rsid w:val="00775EB8"/>
    <w:rsid w:val="00776BD6"/>
    <w:rsid w:val="0078412F"/>
    <w:rsid w:val="00784D4B"/>
    <w:rsid w:val="0078797D"/>
    <w:rsid w:val="00792740"/>
    <w:rsid w:val="007939F7"/>
    <w:rsid w:val="00797269"/>
    <w:rsid w:val="007A0F8F"/>
    <w:rsid w:val="007A2A67"/>
    <w:rsid w:val="007A45C4"/>
    <w:rsid w:val="007A4B1D"/>
    <w:rsid w:val="007A5D8A"/>
    <w:rsid w:val="007A684B"/>
    <w:rsid w:val="007A6F98"/>
    <w:rsid w:val="007B1F17"/>
    <w:rsid w:val="007B513A"/>
    <w:rsid w:val="007C0665"/>
    <w:rsid w:val="007C22CD"/>
    <w:rsid w:val="007C5B60"/>
    <w:rsid w:val="007C6AEE"/>
    <w:rsid w:val="007D58B1"/>
    <w:rsid w:val="007D6789"/>
    <w:rsid w:val="007E0540"/>
    <w:rsid w:val="007E1143"/>
    <w:rsid w:val="007E3C25"/>
    <w:rsid w:val="007E47AC"/>
    <w:rsid w:val="007E63AB"/>
    <w:rsid w:val="007F5176"/>
    <w:rsid w:val="007F715C"/>
    <w:rsid w:val="00806B77"/>
    <w:rsid w:val="00807FE9"/>
    <w:rsid w:val="008110AF"/>
    <w:rsid w:val="00811973"/>
    <w:rsid w:val="008145DD"/>
    <w:rsid w:val="0081632D"/>
    <w:rsid w:val="008249E8"/>
    <w:rsid w:val="00825BC5"/>
    <w:rsid w:val="00826627"/>
    <w:rsid w:val="00830FDE"/>
    <w:rsid w:val="008334E0"/>
    <w:rsid w:val="008369C2"/>
    <w:rsid w:val="008379B0"/>
    <w:rsid w:val="008423FC"/>
    <w:rsid w:val="00842A18"/>
    <w:rsid w:val="00847491"/>
    <w:rsid w:val="008474D0"/>
    <w:rsid w:val="00847900"/>
    <w:rsid w:val="008521DF"/>
    <w:rsid w:val="00856086"/>
    <w:rsid w:val="00856BF0"/>
    <w:rsid w:val="00864407"/>
    <w:rsid w:val="008663D8"/>
    <w:rsid w:val="00866C06"/>
    <w:rsid w:val="00870CB2"/>
    <w:rsid w:val="00874EAC"/>
    <w:rsid w:val="00875829"/>
    <w:rsid w:val="00876AA0"/>
    <w:rsid w:val="00881163"/>
    <w:rsid w:val="0088606E"/>
    <w:rsid w:val="00886391"/>
    <w:rsid w:val="008907B3"/>
    <w:rsid w:val="00891B14"/>
    <w:rsid w:val="00894BC0"/>
    <w:rsid w:val="00894E13"/>
    <w:rsid w:val="008953D6"/>
    <w:rsid w:val="00897EE5"/>
    <w:rsid w:val="008A155C"/>
    <w:rsid w:val="008A24AE"/>
    <w:rsid w:val="008A3FB2"/>
    <w:rsid w:val="008A4BDA"/>
    <w:rsid w:val="008A6379"/>
    <w:rsid w:val="008A7D53"/>
    <w:rsid w:val="008B0809"/>
    <w:rsid w:val="008B337E"/>
    <w:rsid w:val="008B5224"/>
    <w:rsid w:val="008B76F6"/>
    <w:rsid w:val="008C0697"/>
    <w:rsid w:val="008C1499"/>
    <w:rsid w:val="008C2989"/>
    <w:rsid w:val="008C7867"/>
    <w:rsid w:val="008D2694"/>
    <w:rsid w:val="008D3C6D"/>
    <w:rsid w:val="008D5D5F"/>
    <w:rsid w:val="008E0833"/>
    <w:rsid w:val="008E0E50"/>
    <w:rsid w:val="008E40B2"/>
    <w:rsid w:val="008E6E16"/>
    <w:rsid w:val="008F68FF"/>
    <w:rsid w:val="009003F2"/>
    <w:rsid w:val="00901746"/>
    <w:rsid w:val="00901EE3"/>
    <w:rsid w:val="009054A3"/>
    <w:rsid w:val="00905643"/>
    <w:rsid w:val="009057BA"/>
    <w:rsid w:val="00905D34"/>
    <w:rsid w:val="0090732F"/>
    <w:rsid w:val="009107F4"/>
    <w:rsid w:val="009144E0"/>
    <w:rsid w:val="00914551"/>
    <w:rsid w:val="00915B31"/>
    <w:rsid w:val="0091768C"/>
    <w:rsid w:val="009212CD"/>
    <w:rsid w:val="009234B3"/>
    <w:rsid w:val="00923CDD"/>
    <w:rsid w:val="00927963"/>
    <w:rsid w:val="00933607"/>
    <w:rsid w:val="0093486B"/>
    <w:rsid w:val="0093616A"/>
    <w:rsid w:val="009372DC"/>
    <w:rsid w:val="00942D27"/>
    <w:rsid w:val="00943638"/>
    <w:rsid w:val="0094683D"/>
    <w:rsid w:val="00951B5A"/>
    <w:rsid w:val="00954231"/>
    <w:rsid w:val="00956E93"/>
    <w:rsid w:val="00961698"/>
    <w:rsid w:val="00967F64"/>
    <w:rsid w:val="00972618"/>
    <w:rsid w:val="00975633"/>
    <w:rsid w:val="009800D2"/>
    <w:rsid w:val="00980682"/>
    <w:rsid w:val="00982088"/>
    <w:rsid w:val="00982121"/>
    <w:rsid w:val="00985B97"/>
    <w:rsid w:val="00996FEA"/>
    <w:rsid w:val="009A2470"/>
    <w:rsid w:val="009A517C"/>
    <w:rsid w:val="009A5563"/>
    <w:rsid w:val="009A71B6"/>
    <w:rsid w:val="009B2D5B"/>
    <w:rsid w:val="009B4A06"/>
    <w:rsid w:val="009B53FB"/>
    <w:rsid w:val="009B5CD2"/>
    <w:rsid w:val="009C2ACB"/>
    <w:rsid w:val="009D2068"/>
    <w:rsid w:val="009D5F04"/>
    <w:rsid w:val="009D71C0"/>
    <w:rsid w:val="009E171B"/>
    <w:rsid w:val="009E26F7"/>
    <w:rsid w:val="009E32AC"/>
    <w:rsid w:val="009E4AA8"/>
    <w:rsid w:val="009F0F3C"/>
    <w:rsid w:val="009F163F"/>
    <w:rsid w:val="009F4CE4"/>
    <w:rsid w:val="009F59CE"/>
    <w:rsid w:val="009F7038"/>
    <w:rsid w:val="009F751D"/>
    <w:rsid w:val="00A01BE9"/>
    <w:rsid w:val="00A02357"/>
    <w:rsid w:val="00A02874"/>
    <w:rsid w:val="00A03707"/>
    <w:rsid w:val="00A03CE1"/>
    <w:rsid w:val="00A059B9"/>
    <w:rsid w:val="00A10F3B"/>
    <w:rsid w:val="00A11810"/>
    <w:rsid w:val="00A1219D"/>
    <w:rsid w:val="00A12EDF"/>
    <w:rsid w:val="00A15A9C"/>
    <w:rsid w:val="00A164C2"/>
    <w:rsid w:val="00A2020F"/>
    <w:rsid w:val="00A20640"/>
    <w:rsid w:val="00A208E0"/>
    <w:rsid w:val="00A2146F"/>
    <w:rsid w:val="00A21771"/>
    <w:rsid w:val="00A245B6"/>
    <w:rsid w:val="00A25257"/>
    <w:rsid w:val="00A26F4E"/>
    <w:rsid w:val="00A3131C"/>
    <w:rsid w:val="00A3293D"/>
    <w:rsid w:val="00A33B65"/>
    <w:rsid w:val="00A3410A"/>
    <w:rsid w:val="00A34975"/>
    <w:rsid w:val="00A34D36"/>
    <w:rsid w:val="00A35A96"/>
    <w:rsid w:val="00A405E7"/>
    <w:rsid w:val="00A41AF9"/>
    <w:rsid w:val="00A43BBB"/>
    <w:rsid w:val="00A4414F"/>
    <w:rsid w:val="00A444DE"/>
    <w:rsid w:val="00A45321"/>
    <w:rsid w:val="00A4656A"/>
    <w:rsid w:val="00A4796E"/>
    <w:rsid w:val="00A5000B"/>
    <w:rsid w:val="00A56024"/>
    <w:rsid w:val="00A56815"/>
    <w:rsid w:val="00A56BBC"/>
    <w:rsid w:val="00A60097"/>
    <w:rsid w:val="00A618E2"/>
    <w:rsid w:val="00A64E0B"/>
    <w:rsid w:val="00A6542A"/>
    <w:rsid w:val="00A661F1"/>
    <w:rsid w:val="00A6788C"/>
    <w:rsid w:val="00A704FA"/>
    <w:rsid w:val="00A70C8F"/>
    <w:rsid w:val="00A74D7A"/>
    <w:rsid w:val="00A77528"/>
    <w:rsid w:val="00A7797A"/>
    <w:rsid w:val="00A819E1"/>
    <w:rsid w:val="00A8217C"/>
    <w:rsid w:val="00A857B6"/>
    <w:rsid w:val="00A86FC1"/>
    <w:rsid w:val="00A87047"/>
    <w:rsid w:val="00AA0E08"/>
    <w:rsid w:val="00AA1EC8"/>
    <w:rsid w:val="00AA3379"/>
    <w:rsid w:val="00AA7802"/>
    <w:rsid w:val="00AB2C16"/>
    <w:rsid w:val="00AB34C7"/>
    <w:rsid w:val="00AB36EC"/>
    <w:rsid w:val="00AB5A66"/>
    <w:rsid w:val="00AC4308"/>
    <w:rsid w:val="00AD1A81"/>
    <w:rsid w:val="00AD3096"/>
    <w:rsid w:val="00AD385D"/>
    <w:rsid w:val="00AD4BB9"/>
    <w:rsid w:val="00AD5359"/>
    <w:rsid w:val="00AD5CFA"/>
    <w:rsid w:val="00AD5DDE"/>
    <w:rsid w:val="00AD5EEA"/>
    <w:rsid w:val="00AE1A37"/>
    <w:rsid w:val="00AE1EE7"/>
    <w:rsid w:val="00AE32A2"/>
    <w:rsid w:val="00AE5E82"/>
    <w:rsid w:val="00AE7596"/>
    <w:rsid w:val="00AF07E5"/>
    <w:rsid w:val="00AF12B1"/>
    <w:rsid w:val="00AF45FC"/>
    <w:rsid w:val="00AF618D"/>
    <w:rsid w:val="00B012CB"/>
    <w:rsid w:val="00B0447E"/>
    <w:rsid w:val="00B05E79"/>
    <w:rsid w:val="00B06C92"/>
    <w:rsid w:val="00B07464"/>
    <w:rsid w:val="00B0775A"/>
    <w:rsid w:val="00B1230E"/>
    <w:rsid w:val="00B17362"/>
    <w:rsid w:val="00B179F3"/>
    <w:rsid w:val="00B2159C"/>
    <w:rsid w:val="00B21B12"/>
    <w:rsid w:val="00B24E50"/>
    <w:rsid w:val="00B25F39"/>
    <w:rsid w:val="00B33AA1"/>
    <w:rsid w:val="00B356D7"/>
    <w:rsid w:val="00B411BC"/>
    <w:rsid w:val="00B418F0"/>
    <w:rsid w:val="00B42837"/>
    <w:rsid w:val="00B4313F"/>
    <w:rsid w:val="00B432A4"/>
    <w:rsid w:val="00B452D7"/>
    <w:rsid w:val="00B4698E"/>
    <w:rsid w:val="00B50A65"/>
    <w:rsid w:val="00B5146A"/>
    <w:rsid w:val="00B52025"/>
    <w:rsid w:val="00B52717"/>
    <w:rsid w:val="00B52D6E"/>
    <w:rsid w:val="00B53110"/>
    <w:rsid w:val="00B55770"/>
    <w:rsid w:val="00B63DE6"/>
    <w:rsid w:val="00B670E8"/>
    <w:rsid w:val="00B67C03"/>
    <w:rsid w:val="00B72482"/>
    <w:rsid w:val="00B74213"/>
    <w:rsid w:val="00B74646"/>
    <w:rsid w:val="00B770CC"/>
    <w:rsid w:val="00B8044F"/>
    <w:rsid w:val="00B8113C"/>
    <w:rsid w:val="00B82235"/>
    <w:rsid w:val="00B87FD8"/>
    <w:rsid w:val="00B90B9C"/>
    <w:rsid w:val="00B91117"/>
    <w:rsid w:val="00B91A3E"/>
    <w:rsid w:val="00B92A6C"/>
    <w:rsid w:val="00B96743"/>
    <w:rsid w:val="00BA2ACD"/>
    <w:rsid w:val="00BA34FC"/>
    <w:rsid w:val="00BA5F64"/>
    <w:rsid w:val="00BB1FCD"/>
    <w:rsid w:val="00BB6C4B"/>
    <w:rsid w:val="00BB723B"/>
    <w:rsid w:val="00BC0557"/>
    <w:rsid w:val="00BC6C34"/>
    <w:rsid w:val="00BC6DE3"/>
    <w:rsid w:val="00BD0A8E"/>
    <w:rsid w:val="00BD1452"/>
    <w:rsid w:val="00BD1F81"/>
    <w:rsid w:val="00BD4080"/>
    <w:rsid w:val="00BD7EF4"/>
    <w:rsid w:val="00BE3975"/>
    <w:rsid w:val="00BE4154"/>
    <w:rsid w:val="00BE7844"/>
    <w:rsid w:val="00BF065A"/>
    <w:rsid w:val="00BF2DC7"/>
    <w:rsid w:val="00BF4627"/>
    <w:rsid w:val="00BF578C"/>
    <w:rsid w:val="00BF6798"/>
    <w:rsid w:val="00BF6FBF"/>
    <w:rsid w:val="00BF7B35"/>
    <w:rsid w:val="00C02572"/>
    <w:rsid w:val="00C055A4"/>
    <w:rsid w:val="00C06C22"/>
    <w:rsid w:val="00C06FDF"/>
    <w:rsid w:val="00C07926"/>
    <w:rsid w:val="00C07E5C"/>
    <w:rsid w:val="00C15300"/>
    <w:rsid w:val="00C15522"/>
    <w:rsid w:val="00C16AEC"/>
    <w:rsid w:val="00C17D7E"/>
    <w:rsid w:val="00C20EE2"/>
    <w:rsid w:val="00C21369"/>
    <w:rsid w:val="00C219F1"/>
    <w:rsid w:val="00C21C26"/>
    <w:rsid w:val="00C30826"/>
    <w:rsid w:val="00C32EE6"/>
    <w:rsid w:val="00C32F7C"/>
    <w:rsid w:val="00C33F84"/>
    <w:rsid w:val="00C357FF"/>
    <w:rsid w:val="00C36314"/>
    <w:rsid w:val="00C44DAC"/>
    <w:rsid w:val="00C46F3B"/>
    <w:rsid w:val="00C50694"/>
    <w:rsid w:val="00C543D1"/>
    <w:rsid w:val="00C55E44"/>
    <w:rsid w:val="00C57CFC"/>
    <w:rsid w:val="00C61A67"/>
    <w:rsid w:val="00C6214E"/>
    <w:rsid w:val="00C6292E"/>
    <w:rsid w:val="00C6296B"/>
    <w:rsid w:val="00C62A67"/>
    <w:rsid w:val="00C635F5"/>
    <w:rsid w:val="00C67F59"/>
    <w:rsid w:val="00C728CB"/>
    <w:rsid w:val="00C72AD7"/>
    <w:rsid w:val="00C755D9"/>
    <w:rsid w:val="00C81487"/>
    <w:rsid w:val="00C81EC9"/>
    <w:rsid w:val="00C82629"/>
    <w:rsid w:val="00C93072"/>
    <w:rsid w:val="00CA36D6"/>
    <w:rsid w:val="00CA4057"/>
    <w:rsid w:val="00CB0FBD"/>
    <w:rsid w:val="00CB35CF"/>
    <w:rsid w:val="00CB3A9F"/>
    <w:rsid w:val="00CB426E"/>
    <w:rsid w:val="00CB55EE"/>
    <w:rsid w:val="00CC2170"/>
    <w:rsid w:val="00CC2E1C"/>
    <w:rsid w:val="00CC5BC5"/>
    <w:rsid w:val="00CD2C96"/>
    <w:rsid w:val="00CD3161"/>
    <w:rsid w:val="00CD3ADA"/>
    <w:rsid w:val="00CE1BD1"/>
    <w:rsid w:val="00CE327F"/>
    <w:rsid w:val="00CE4DD7"/>
    <w:rsid w:val="00CE6A29"/>
    <w:rsid w:val="00CE7654"/>
    <w:rsid w:val="00CF03DD"/>
    <w:rsid w:val="00CF12D7"/>
    <w:rsid w:val="00CF14B2"/>
    <w:rsid w:val="00CF163F"/>
    <w:rsid w:val="00CF3598"/>
    <w:rsid w:val="00CF6131"/>
    <w:rsid w:val="00CF7C14"/>
    <w:rsid w:val="00D029A9"/>
    <w:rsid w:val="00D04949"/>
    <w:rsid w:val="00D05153"/>
    <w:rsid w:val="00D0698B"/>
    <w:rsid w:val="00D0792D"/>
    <w:rsid w:val="00D13587"/>
    <w:rsid w:val="00D15632"/>
    <w:rsid w:val="00D22D12"/>
    <w:rsid w:val="00D24291"/>
    <w:rsid w:val="00D24DD0"/>
    <w:rsid w:val="00D26840"/>
    <w:rsid w:val="00D27AAB"/>
    <w:rsid w:val="00D30DF2"/>
    <w:rsid w:val="00D32413"/>
    <w:rsid w:val="00D36B65"/>
    <w:rsid w:val="00D375F2"/>
    <w:rsid w:val="00D42D35"/>
    <w:rsid w:val="00D433CE"/>
    <w:rsid w:val="00D433FE"/>
    <w:rsid w:val="00D442DB"/>
    <w:rsid w:val="00D4433D"/>
    <w:rsid w:val="00D45DC1"/>
    <w:rsid w:val="00D46DA3"/>
    <w:rsid w:val="00D517B2"/>
    <w:rsid w:val="00D56CDB"/>
    <w:rsid w:val="00D62992"/>
    <w:rsid w:val="00D67528"/>
    <w:rsid w:val="00D720E5"/>
    <w:rsid w:val="00D72FAE"/>
    <w:rsid w:val="00D850D5"/>
    <w:rsid w:val="00D854A5"/>
    <w:rsid w:val="00D92584"/>
    <w:rsid w:val="00D92E97"/>
    <w:rsid w:val="00D9386E"/>
    <w:rsid w:val="00D94206"/>
    <w:rsid w:val="00D95B2D"/>
    <w:rsid w:val="00D96A59"/>
    <w:rsid w:val="00DB1471"/>
    <w:rsid w:val="00DB3020"/>
    <w:rsid w:val="00DB3D14"/>
    <w:rsid w:val="00DB403E"/>
    <w:rsid w:val="00DC4070"/>
    <w:rsid w:val="00DC4510"/>
    <w:rsid w:val="00DC4DCA"/>
    <w:rsid w:val="00DC77F3"/>
    <w:rsid w:val="00DD37C6"/>
    <w:rsid w:val="00DD5853"/>
    <w:rsid w:val="00DD7A31"/>
    <w:rsid w:val="00DE7524"/>
    <w:rsid w:val="00DF01A4"/>
    <w:rsid w:val="00DF1BFB"/>
    <w:rsid w:val="00DF4B80"/>
    <w:rsid w:val="00E019E2"/>
    <w:rsid w:val="00E05DAA"/>
    <w:rsid w:val="00E077EB"/>
    <w:rsid w:val="00E07FAD"/>
    <w:rsid w:val="00E13B14"/>
    <w:rsid w:val="00E145BC"/>
    <w:rsid w:val="00E17C6E"/>
    <w:rsid w:val="00E20D98"/>
    <w:rsid w:val="00E2450A"/>
    <w:rsid w:val="00E32CAD"/>
    <w:rsid w:val="00E33163"/>
    <w:rsid w:val="00E33E58"/>
    <w:rsid w:val="00E3635D"/>
    <w:rsid w:val="00E401FE"/>
    <w:rsid w:val="00E41273"/>
    <w:rsid w:val="00E44332"/>
    <w:rsid w:val="00E50D35"/>
    <w:rsid w:val="00E51D10"/>
    <w:rsid w:val="00E51E9F"/>
    <w:rsid w:val="00E52AF8"/>
    <w:rsid w:val="00E54636"/>
    <w:rsid w:val="00E57849"/>
    <w:rsid w:val="00E63108"/>
    <w:rsid w:val="00E64E6F"/>
    <w:rsid w:val="00E6618D"/>
    <w:rsid w:val="00E748ED"/>
    <w:rsid w:val="00E75ED6"/>
    <w:rsid w:val="00E7633A"/>
    <w:rsid w:val="00E76365"/>
    <w:rsid w:val="00E76A70"/>
    <w:rsid w:val="00E915BE"/>
    <w:rsid w:val="00E920AE"/>
    <w:rsid w:val="00E9305A"/>
    <w:rsid w:val="00E957D8"/>
    <w:rsid w:val="00E96114"/>
    <w:rsid w:val="00E96AFF"/>
    <w:rsid w:val="00E973EC"/>
    <w:rsid w:val="00E97B39"/>
    <w:rsid w:val="00EA0383"/>
    <w:rsid w:val="00EA572C"/>
    <w:rsid w:val="00EA735D"/>
    <w:rsid w:val="00EA7530"/>
    <w:rsid w:val="00EB258B"/>
    <w:rsid w:val="00EB2B90"/>
    <w:rsid w:val="00EB35A7"/>
    <w:rsid w:val="00EB4CF9"/>
    <w:rsid w:val="00EB54D0"/>
    <w:rsid w:val="00EB70DA"/>
    <w:rsid w:val="00EC0AD9"/>
    <w:rsid w:val="00EC17E8"/>
    <w:rsid w:val="00EC36EB"/>
    <w:rsid w:val="00EC52AE"/>
    <w:rsid w:val="00EC5B2A"/>
    <w:rsid w:val="00EC6FC0"/>
    <w:rsid w:val="00EC78E2"/>
    <w:rsid w:val="00ED1F3E"/>
    <w:rsid w:val="00ED6153"/>
    <w:rsid w:val="00ED7A2E"/>
    <w:rsid w:val="00ED7EA3"/>
    <w:rsid w:val="00EE1623"/>
    <w:rsid w:val="00EE1FB0"/>
    <w:rsid w:val="00EE4114"/>
    <w:rsid w:val="00EE42D6"/>
    <w:rsid w:val="00EF3F04"/>
    <w:rsid w:val="00EF5AC5"/>
    <w:rsid w:val="00EF650C"/>
    <w:rsid w:val="00EF7605"/>
    <w:rsid w:val="00EF7C95"/>
    <w:rsid w:val="00F007FB"/>
    <w:rsid w:val="00F009DE"/>
    <w:rsid w:val="00F022F8"/>
    <w:rsid w:val="00F03649"/>
    <w:rsid w:val="00F03C5E"/>
    <w:rsid w:val="00F10AC5"/>
    <w:rsid w:val="00F10C8F"/>
    <w:rsid w:val="00F12729"/>
    <w:rsid w:val="00F14B73"/>
    <w:rsid w:val="00F154B5"/>
    <w:rsid w:val="00F156E5"/>
    <w:rsid w:val="00F15E0F"/>
    <w:rsid w:val="00F176CA"/>
    <w:rsid w:val="00F17740"/>
    <w:rsid w:val="00F1797E"/>
    <w:rsid w:val="00F20C83"/>
    <w:rsid w:val="00F211CC"/>
    <w:rsid w:val="00F2234F"/>
    <w:rsid w:val="00F23029"/>
    <w:rsid w:val="00F249C8"/>
    <w:rsid w:val="00F253F9"/>
    <w:rsid w:val="00F25DAE"/>
    <w:rsid w:val="00F26B19"/>
    <w:rsid w:val="00F32C81"/>
    <w:rsid w:val="00F37DEA"/>
    <w:rsid w:val="00F40EB4"/>
    <w:rsid w:val="00F4256B"/>
    <w:rsid w:val="00F45B47"/>
    <w:rsid w:val="00F54248"/>
    <w:rsid w:val="00F55724"/>
    <w:rsid w:val="00F55CE4"/>
    <w:rsid w:val="00F5616B"/>
    <w:rsid w:val="00F571A1"/>
    <w:rsid w:val="00F62B92"/>
    <w:rsid w:val="00F654BB"/>
    <w:rsid w:val="00F73607"/>
    <w:rsid w:val="00F8288D"/>
    <w:rsid w:val="00F85395"/>
    <w:rsid w:val="00F87CBB"/>
    <w:rsid w:val="00F921FD"/>
    <w:rsid w:val="00F92A5D"/>
    <w:rsid w:val="00F9399F"/>
    <w:rsid w:val="00F94B5C"/>
    <w:rsid w:val="00F963D2"/>
    <w:rsid w:val="00FA04A0"/>
    <w:rsid w:val="00FA0784"/>
    <w:rsid w:val="00FA583D"/>
    <w:rsid w:val="00FA6142"/>
    <w:rsid w:val="00FA69FF"/>
    <w:rsid w:val="00FA7541"/>
    <w:rsid w:val="00FB1376"/>
    <w:rsid w:val="00FB1D19"/>
    <w:rsid w:val="00FB21BE"/>
    <w:rsid w:val="00FB2C4B"/>
    <w:rsid w:val="00FB34AF"/>
    <w:rsid w:val="00FB514E"/>
    <w:rsid w:val="00FB52BC"/>
    <w:rsid w:val="00FC353A"/>
    <w:rsid w:val="00FC5D49"/>
    <w:rsid w:val="00FC660D"/>
    <w:rsid w:val="00FD0582"/>
    <w:rsid w:val="00FD0C99"/>
    <w:rsid w:val="00FD22BE"/>
    <w:rsid w:val="00FD33DA"/>
    <w:rsid w:val="00FD4645"/>
    <w:rsid w:val="00FD65B7"/>
    <w:rsid w:val="00FD6C1B"/>
    <w:rsid w:val="00FE373C"/>
    <w:rsid w:val="00FF0640"/>
    <w:rsid w:val="00FF33F9"/>
    <w:rsid w:val="00FF4C1E"/>
    <w:rsid w:val="00FF5B6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12EA4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mnesty Trade Gothic Light" w:eastAsiaTheme="minorEastAsia" w:hAnsi="Amnesty Trade Gothic Light" w:cs="Arial"/>
        <w:color w:val="000000" w:themeColor="text1"/>
        <w:lang w:val="en-US" w:eastAsia="en-US" w:bidi="ar-SA"/>
      </w:rPr>
    </w:rPrDefault>
    <w:pPrDefault/>
  </w:docDefaults>
  <w:latentStyles w:defLockedState="1" w:defUIPriority="99" w:defSemiHidden="1" w:defUnhideWhenUsed="1" w:defQFormat="0" w:count="267">
    <w:lsdException w:name="Normal" w:locked="0" w:semiHidden="0" w:unhideWhenUsed="0" w:qFormat="1"/>
    <w:lsdException w:name="heading 1" w:semiHidden="0" w:unhideWhenUsed="0" w:qFormat="1"/>
    <w:lsdException w:name="heading 2" w:unhideWhenUsed="0" w:qFormat="1"/>
    <w:lsdException w:name="heading 3" w:unhideWhenUsed="0" w:qFormat="1"/>
    <w:lsdException w:name="heading 4" w:unhideWhenUsed="0"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98"/>
    <w:lsdException w:name="footnote text" w:qFormat="1"/>
    <w:lsdException w:name="caption" w:qFormat="1"/>
    <w:lsdException w:name="footnote reference" w:uiPriority="0" w:qFormat="1"/>
    <w:lsdException w:name="List" w:unhideWhenUsed="0"/>
    <w:lsdException w:name="List 2" w:unhideWhenUsed="0"/>
    <w:lsdException w:name="List 3" w:unhideWhenUsed="0"/>
    <w:lsdException w:name="Title" w:semiHidden="0" w:unhideWhenUsed="0"/>
    <w:lsdException w:name="Default Paragraph Font" w:locked="0" w:uiPriority="1"/>
    <w:lsdException w:name="Body Text" w:uiPriority="0"/>
    <w:lsdException w:name="List Continue 5" w:unhideWhenUsed="0"/>
    <w:lsdException w:name="Message Header" w:unhideWhenUsed="0"/>
    <w:lsdException w:name="Subtitle" w:unhideWhenUsed="0" w:qFormat="1"/>
    <w:lsdException w:name="Salutation" w:unhideWhenUsed="0"/>
    <w:lsdException w:name="Strong" w:semiHidden="0" w:uiPriority="22" w:unhideWhenUsed="0" w:qFormat="1"/>
    <w:lsdException w:name="Emphasis" w:semiHidden="0" w:uiPriority="20" w:unhideWhenUsed="0" w:qFormat="1"/>
    <w:lsdException w:name="HTML Top of Form" w:locked="0"/>
    <w:lsdException w:name="HTML Bottom of Form" w:locked="0"/>
    <w:lsdException w:name="Normal Table" w:locked="0"/>
    <w:lsdException w:name="No List" w:locked="0"/>
    <w:lsdException w:name="Table Grid" w:semiHidden="0" w:uiPriority="59" w:unhideWhenUsed="0"/>
    <w:lsdException w:name="Placeholder Text" w:unhideWhenUsed="0"/>
    <w:lsdException w:name="No Spacing"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nhideWhenUsed="0"/>
    <w:lsdException w:name="List Paragraph" w:semiHidden="0"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nhideWhenUsed="0"/>
    <w:lsdException w:name="Subtle Reference" w:semiHidden="0" w:unhideWhenUsed="0"/>
    <w:lsdException w:name="Intense Reference" w:semiHidden="0" w:unhideWhenUsed="0"/>
    <w:lsdException w:name="Book Title" w:semiHidden="0" w:unhideWhenUsed="0"/>
    <w:lsdException w:name="TOC Heading" w:uiPriority="98" w:qFormat="1"/>
  </w:latentStyles>
  <w:style w:type="paragraph" w:default="1" w:styleId="Normal">
    <w:name w:val="Normal"/>
    <w:uiPriority w:val="99"/>
    <w:qFormat/>
    <w:rsid w:val="00462C20"/>
    <w:rPr>
      <w:rFonts w:ascii="Amnesty Trade Gothic Light Obl" w:hAnsi="Amnesty Trade Gothic Light Obl"/>
      <w:sz w:val="14"/>
    </w:rPr>
  </w:style>
  <w:style w:type="paragraph" w:styleId="Heading1">
    <w:name w:val="heading 1"/>
    <w:basedOn w:val="Normal"/>
    <w:next w:val="Normal"/>
    <w:link w:val="Heading1Char"/>
    <w:uiPriority w:val="99"/>
    <w:semiHidden/>
    <w:qFormat/>
    <w:locked/>
    <w:rsid w:val="002F688D"/>
    <w:pPr>
      <w:keepNext/>
      <w:numPr>
        <w:numId w:val="2"/>
      </w:numPr>
      <w:spacing w:line="560" w:lineRule="atLeast"/>
      <w:outlineLvl w:val="0"/>
    </w:pPr>
    <w:rPr>
      <w:rFonts w:ascii="Amnesty Trade Gothic Cn" w:eastAsia="SimSun" w:hAnsi="Amnesty Trade Gothic Cn" w:cs="Times New Roman"/>
      <w:b/>
      <w:caps/>
      <w:color w:val="auto"/>
      <w:kern w:val="1"/>
      <w:sz w:val="56"/>
      <w:szCs w:val="32"/>
      <w:lang w:val="en-GB" w:eastAsia="zh-CN"/>
    </w:rPr>
  </w:style>
  <w:style w:type="paragraph" w:styleId="Heading2">
    <w:name w:val="heading 2"/>
    <w:basedOn w:val="Normal"/>
    <w:next w:val="Normal"/>
    <w:link w:val="Heading2Char"/>
    <w:uiPriority w:val="99"/>
    <w:semiHidden/>
    <w:qFormat/>
    <w:locked/>
    <w:rsid w:val="002F688D"/>
    <w:pPr>
      <w:keepNext/>
      <w:numPr>
        <w:ilvl w:val="1"/>
        <w:numId w:val="2"/>
      </w:numPr>
      <w:outlineLvl w:val="1"/>
    </w:pPr>
    <w:rPr>
      <w:rFonts w:ascii="Amnesty Trade Gothic Cn" w:eastAsia="SimSun" w:hAnsi="Amnesty Trade Gothic Cn" w:cs="Times New Roman"/>
      <w:caps/>
      <w:color w:val="auto"/>
      <w:sz w:val="26"/>
      <w:szCs w:val="28"/>
      <w:lang w:val="en-GB" w:eastAsia="zh-CN"/>
    </w:rPr>
  </w:style>
  <w:style w:type="paragraph" w:styleId="Heading3">
    <w:name w:val="heading 3"/>
    <w:basedOn w:val="Normal"/>
    <w:next w:val="Normal"/>
    <w:link w:val="Heading3Char"/>
    <w:uiPriority w:val="99"/>
    <w:semiHidden/>
    <w:qFormat/>
    <w:locked/>
    <w:rsid w:val="002F688D"/>
    <w:pPr>
      <w:keepNext/>
      <w:numPr>
        <w:ilvl w:val="2"/>
        <w:numId w:val="2"/>
      </w:numPr>
      <w:outlineLvl w:val="2"/>
    </w:pPr>
    <w:rPr>
      <w:rFonts w:ascii="Amnesty Trade Gothic Cn" w:eastAsia="SimSun" w:hAnsi="Amnesty Trade Gothic Cn" w:cs="Times New Roman"/>
      <w:caps/>
      <w:color w:val="auto"/>
      <w:szCs w:val="26"/>
      <w:lang w:val="en-GB" w:eastAsia="zh-CN"/>
    </w:rPr>
  </w:style>
  <w:style w:type="paragraph" w:styleId="Heading4">
    <w:name w:val="heading 4"/>
    <w:basedOn w:val="Normal"/>
    <w:next w:val="Normal"/>
    <w:link w:val="Heading4Char"/>
    <w:uiPriority w:val="99"/>
    <w:semiHidden/>
    <w:qFormat/>
    <w:locked/>
    <w:rsid w:val="002F688D"/>
    <w:pPr>
      <w:numPr>
        <w:ilvl w:val="3"/>
        <w:numId w:val="2"/>
      </w:numPr>
      <w:outlineLvl w:val="3"/>
    </w:pPr>
    <w:rPr>
      <w:rFonts w:ascii="Verdana" w:eastAsia="SimSun" w:hAnsi="Verdana" w:cs="Times New Roman"/>
      <w:color w:val="auto"/>
      <w:szCs w:val="24"/>
      <w:lang w:val="en-GB" w:eastAsia="zh-CN"/>
    </w:rPr>
  </w:style>
  <w:style w:type="paragraph" w:styleId="Heading5">
    <w:name w:val="heading 5"/>
    <w:basedOn w:val="Heading4"/>
    <w:next w:val="Normal"/>
    <w:link w:val="Heading5Char"/>
    <w:uiPriority w:val="99"/>
    <w:semiHidden/>
    <w:qFormat/>
    <w:locked/>
    <w:rsid w:val="002F688D"/>
    <w:pPr>
      <w:numPr>
        <w:ilvl w:val="4"/>
      </w:numPr>
      <w:outlineLvl w:val="4"/>
    </w:pPr>
  </w:style>
  <w:style w:type="paragraph" w:styleId="Heading6">
    <w:name w:val="heading 6"/>
    <w:basedOn w:val="Heading5"/>
    <w:next w:val="Normal"/>
    <w:link w:val="Heading6Char"/>
    <w:uiPriority w:val="99"/>
    <w:semiHidden/>
    <w:qFormat/>
    <w:locked/>
    <w:rsid w:val="002F688D"/>
    <w:pPr>
      <w:numPr>
        <w:ilvl w:val="5"/>
      </w:numPr>
      <w:outlineLvl w:val="5"/>
    </w:pPr>
  </w:style>
  <w:style w:type="paragraph" w:styleId="Heading7">
    <w:name w:val="heading 7"/>
    <w:basedOn w:val="Heading6"/>
    <w:next w:val="Normal"/>
    <w:link w:val="Heading7Char"/>
    <w:uiPriority w:val="99"/>
    <w:semiHidden/>
    <w:qFormat/>
    <w:locked/>
    <w:rsid w:val="002F688D"/>
    <w:pPr>
      <w:numPr>
        <w:ilvl w:val="6"/>
      </w:numPr>
      <w:outlineLvl w:val="6"/>
    </w:pPr>
  </w:style>
  <w:style w:type="paragraph" w:styleId="Heading8">
    <w:name w:val="heading 8"/>
    <w:basedOn w:val="Heading7"/>
    <w:next w:val="Normal"/>
    <w:link w:val="Heading8Char"/>
    <w:uiPriority w:val="99"/>
    <w:semiHidden/>
    <w:qFormat/>
    <w:locked/>
    <w:rsid w:val="002F688D"/>
    <w:pPr>
      <w:numPr>
        <w:ilvl w:val="7"/>
      </w:numPr>
      <w:outlineLvl w:val="7"/>
    </w:pPr>
  </w:style>
  <w:style w:type="paragraph" w:styleId="Heading9">
    <w:name w:val="heading 9"/>
    <w:basedOn w:val="Heading8"/>
    <w:next w:val="Normal"/>
    <w:link w:val="Heading9Char"/>
    <w:uiPriority w:val="99"/>
    <w:semiHidden/>
    <w:qFormat/>
    <w:locked/>
    <w:rsid w:val="002F688D"/>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Bulletlist">
    <w:name w:val="Bullet list"/>
    <w:uiPriority w:val="99"/>
    <w:locked/>
    <w:rsid w:val="009B2D5B"/>
    <w:pPr>
      <w:numPr>
        <w:numId w:val="1"/>
      </w:numPr>
    </w:pPr>
  </w:style>
  <w:style w:type="paragraph" w:styleId="FootnoteText">
    <w:name w:val="footnote text"/>
    <w:aliases w:val="Char Char,Char,Footnote Text Char Char Char Char Char,Footnote Text Char Char Char Char,Footnote reference,FA Fu,Footnote Text Char Char Char Char Char Char Char Char,Footnote Text Char Char Char Char Char Char1,ft,Footnote Te,5_G,Ca,fn,AD"/>
    <w:basedOn w:val="Normal"/>
    <w:link w:val="FootnoteTextChar"/>
    <w:uiPriority w:val="99"/>
    <w:qFormat/>
    <w:locked/>
    <w:rsid w:val="00967F64"/>
    <w:rPr>
      <w:rFonts w:ascii="Amnesty Trade Gothic Light" w:hAnsi="Amnesty Trade Gothic Light"/>
      <w:szCs w:val="24"/>
    </w:rPr>
  </w:style>
  <w:style w:type="paragraph" w:styleId="Header">
    <w:name w:val="header"/>
    <w:basedOn w:val="Normal"/>
    <w:link w:val="HeaderChar"/>
    <w:uiPriority w:val="99"/>
    <w:semiHidden/>
    <w:locked/>
    <w:rsid w:val="00AE5E82"/>
    <w:pPr>
      <w:tabs>
        <w:tab w:val="center" w:pos="4320"/>
        <w:tab w:val="right" w:pos="8640"/>
      </w:tabs>
    </w:pPr>
  </w:style>
  <w:style w:type="character" w:customStyle="1" w:styleId="HeaderChar">
    <w:name w:val="Header Char"/>
    <w:basedOn w:val="DefaultParagraphFont"/>
    <w:link w:val="Header"/>
    <w:uiPriority w:val="99"/>
    <w:semiHidden/>
    <w:rsid w:val="006B29BE"/>
    <w:rPr>
      <w:rFonts w:ascii="Amnesty Trade Gothic Light Obl" w:hAnsi="Amnesty Trade Gothic Light Obl"/>
      <w:sz w:val="14"/>
    </w:rPr>
  </w:style>
  <w:style w:type="paragraph" w:styleId="Footer">
    <w:name w:val="footer"/>
    <w:basedOn w:val="Normal"/>
    <w:link w:val="FooterChar"/>
    <w:uiPriority w:val="99"/>
    <w:semiHidden/>
    <w:locked/>
    <w:rsid w:val="00826627"/>
    <w:pPr>
      <w:tabs>
        <w:tab w:val="right" w:pos="8278"/>
      </w:tabs>
      <w:spacing w:line="150" w:lineRule="exact"/>
    </w:pPr>
    <w:rPr>
      <w:caps/>
      <w:sz w:val="15"/>
      <w:szCs w:val="15"/>
    </w:rPr>
  </w:style>
  <w:style w:type="character" w:customStyle="1" w:styleId="FooterChar">
    <w:name w:val="Footer Char"/>
    <w:basedOn w:val="DefaultParagraphFont"/>
    <w:link w:val="Footer"/>
    <w:uiPriority w:val="99"/>
    <w:semiHidden/>
    <w:rsid w:val="00AE32A2"/>
    <w:rPr>
      <w:rFonts w:ascii="Amnesty Trade Gothic Light Obl" w:hAnsi="Amnesty Trade Gothic Light Obl"/>
      <w:caps/>
      <w:sz w:val="15"/>
      <w:szCs w:val="15"/>
    </w:rPr>
  </w:style>
  <w:style w:type="paragraph" w:customStyle="1" w:styleId="RTBodyText">
    <w:name w:val="RT Body Text"/>
    <w:basedOn w:val="Normal"/>
    <w:uiPriority w:val="9"/>
    <w:qFormat/>
    <w:rsid w:val="00E20D98"/>
    <w:pPr>
      <w:suppressAutoHyphens/>
      <w:spacing w:after="120"/>
    </w:pPr>
    <w:rPr>
      <w:rFonts w:asciiTheme="minorHAnsi" w:hAnsiTheme="minorHAnsi"/>
      <w:sz w:val="18"/>
      <w:szCs w:val="24"/>
      <w:lang w:val="en-GB"/>
    </w:rPr>
  </w:style>
  <w:style w:type="table" w:styleId="TableGrid">
    <w:name w:val="Table Grid"/>
    <w:basedOn w:val="TableNormal"/>
    <w:uiPriority w:val="59"/>
    <w:locked/>
    <w:rsid w:val="00A441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RTNumberedList">
    <w:name w:val="RT Numbered List"/>
    <w:uiPriority w:val="99"/>
    <w:rsid w:val="00DB3D14"/>
    <w:pPr>
      <w:numPr>
        <w:numId w:val="3"/>
      </w:numPr>
    </w:pPr>
  </w:style>
  <w:style w:type="paragraph" w:customStyle="1" w:styleId="BasicParagraph">
    <w:name w:val="[Basic Paragraph]"/>
    <w:basedOn w:val="Normal"/>
    <w:uiPriority w:val="99"/>
    <w:semiHidden/>
    <w:rsid w:val="00152840"/>
    <w:pPr>
      <w:widowControl w:val="0"/>
      <w:autoSpaceDE w:val="0"/>
      <w:autoSpaceDN w:val="0"/>
      <w:adjustRightInd w:val="0"/>
      <w:spacing w:line="288" w:lineRule="auto"/>
      <w:textAlignment w:val="center"/>
    </w:pPr>
    <w:rPr>
      <w:rFonts w:ascii="MinionPro-Regular" w:hAnsi="MinionPro-Regular" w:cs="MinionPro-Regular"/>
      <w:color w:val="000000"/>
      <w:sz w:val="24"/>
      <w:szCs w:val="24"/>
      <w:lang w:val="en-GB"/>
    </w:rPr>
  </w:style>
  <w:style w:type="character" w:customStyle="1" w:styleId="Heading1Char">
    <w:name w:val="Heading 1 Char"/>
    <w:basedOn w:val="DefaultParagraphFont"/>
    <w:link w:val="Heading1"/>
    <w:uiPriority w:val="89"/>
    <w:semiHidden/>
    <w:rsid w:val="006B29BE"/>
    <w:rPr>
      <w:rFonts w:ascii="Amnesty Trade Gothic Cn" w:eastAsia="SimSun" w:hAnsi="Amnesty Trade Gothic Cn" w:cs="Times New Roman"/>
      <w:b/>
      <w:caps/>
      <w:color w:val="auto"/>
      <w:kern w:val="1"/>
      <w:sz w:val="56"/>
      <w:szCs w:val="32"/>
      <w:lang w:val="en-GB" w:eastAsia="zh-CN"/>
    </w:rPr>
  </w:style>
  <w:style w:type="character" w:customStyle="1" w:styleId="Heading2Char">
    <w:name w:val="Heading 2 Char"/>
    <w:basedOn w:val="DefaultParagraphFont"/>
    <w:link w:val="Heading2"/>
    <w:uiPriority w:val="89"/>
    <w:semiHidden/>
    <w:rsid w:val="0090732F"/>
    <w:rPr>
      <w:rFonts w:ascii="Amnesty Trade Gothic Cn" w:eastAsia="SimSun" w:hAnsi="Amnesty Trade Gothic Cn" w:cs="Times New Roman"/>
      <w:caps/>
      <w:color w:val="auto"/>
      <w:sz w:val="26"/>
      <w:szCs w:val="28"/>
      <w:lang w:val="en-GB" w:eastAsia="zh-CN"/>
    </w:rPr>
  </w:style>
  <w:style w:type="character" w:customStyle="1" w:styleId="Heading3Char">
    <w:name w:val="Heading 3 Char"/>
    <w:basedOn w:val="DefaultParagraphFont"/>
    <w:link w:val="Heading3"/>
    <w:uiPriority w:val="89"/>
    <w:semiHidden/>
    <w:rsid w:val="006B29BE"/>
    <w:rPr>
      <w:rFonts w:ascii="Amnesty Trade Gothic Cn" w:eastAsia="SimSun" w:hAnsi="Amnesty Trade Gothic Cn" w:cs="Times New Roman"/>
      <w:caps/>
      <w:color w:val="auto"/>
      <w:sz w:val="14"/>
      <w:szCs w:val="26"/>
      <w:lang w:val="en-GB" w:eastAsia="zh-CN"/>
    </w:rPr>
  </w:style>
  <w:style w:type="character" w:customStyle="1" w:styleId="Heading4Char">
    <w:name w:val="Heading 4 Char"/>
    <w:basedOn w:val="DefaultParagraphFont"/>
    <w:link w:val="Heading4"/>
    <w:uiPriority w:val="89"/>
    <w:semiHidden/>
    <w:rsid w:val="0090732F"/>
    <w:rPr>
      <w:rFonts w:ascii="Verdana" w:eastAsia="SimSun" w:hAnsi="Verdana" w:cs="Times New Roman"/>
      <w:color w:val="auto"/>
      <w:sz w:val="14"/>
      <w:szCs w:val="24"/>
      <w:lang w:val="en-GB" w:eastAsia="zh-CN"/>
    </w:rPr>
  </w:style>
  <w:style w:type="character" w:customStyle="1" w:styleId="Heading5Char">
    <w:name w:val="Heading 5 Char"/>
    <w:basedOn w:val="DefaultParagraphFont"/>
    <w:link w:val="Heading5"/>
    <w:uiPriority w:val="89"/>
    <w:semiHidden/>
    <w:rsid w:val="006B29BE"/>
    <w:rPr>
      <w:rFonts w:ascii="Verdana" w:eastAsia="SimSun" w:hAnsi="Verdana" w:cs="Times New Roman"/>
      <w:color w:val="auto"/>
      <w:sz w:val="14"/>
      <w:szCs w:val="24"/>
      <w:lang w:val="en-GB" w:eastAsia="zh-CN"/>
    </w:rPr>
  </w:style>
  <w:style w:type="character" w:customStyle="1" w:styleId="Heading6Char">
    <w:name w:val="Heading 6 Char"/>
    <w:basedOn w:val="DefaultParagraphFont"/>
    <w:link w:val="Heading6"/>
    <w:uiPriority w:val="89"/>
    <w:semiHidden/>
    <w:rsid w:val="006B29BE"/>
    <w:rPr>
      <w:rFonts w:ascii="Verdana" w:eastAsia="SimSun" w:hAnsi="Verdana" w:cs="Times New Roman"/>
      <w:color w:val="auto"/>
      <w:sz w:val="14"/>
      <w:szCs w:val="24"/>
      <w:lang w:val="en-GB" w:eastAsia="zh-CN"/>
    </w:rPr>
  </w:style>
  <w:style w:type="character" w:customStyle="1" w:styleId="Heading7Char">
    <w:name w:val="Heading 7 Char"/>
    <w:basedOn w:val="DefaultParagraphFont"/>
    <w:link w:val="Heading7"/>
    <w:uiPriority w:val="89"/>
    <w:semiHidden/>
    <w:rsid w:val="006B29BE"/>
    <w:rPr>
      <w:rFonts w:ascii="Verdana" w:eastAsia="SimSun" w:hAnsi="Verdana" w:cs="Times New Roman"/>
      <w:color w:val="auto"/>
      <w:sz w:val="14"/>
      <w:szCs w:val="24"/>
      <w:lang w:val="en-GB" w:eastAsia="zh-CN"/>
    </w:rPr>
  </w:style>
  <w:style w:type="character" w:customStyle="1" w:styleId="Heading8Char">
    <w:name w:val="Heading 8 Char"/>
    <w:basedOn w:val="DefaultParagraphFont"/>
    <w:link w:val="Heading8"/>
    <w:uiPriority w:val="89"/>
    <w:semiHidden/>
    <w:rsid w:val="006B29BE"/>
    <w:rPr>
      <w:rFonts w:ascii="Verdana" w:eastAsia="SimSun" w:hAnsi="Verdana" w:cs="Times New Roman"/>
      <w:color w:val="auto"/>
      <w:sz w:val="14"/>
      <w:szCs w:val="24"/>
      <w:lang w:val="en-GB" w:eastAsia="zh-CN"/>
    </w:rPr>
  </w:style>
  <w:style w:type="character" w:customStyle="1" w:styleId="Heading9Char">
    <w:name w:val="Heading 9 Char"/>
    <w:basedOn w:val="DefaultParagraphFont"/>
    <w:link w:val="Heading9"/>
    <w:uiPriority w:val="89"/>
    <w:semiHidden/>
    <w:rsid w:val="006B29BE"/>
    <w:rPr>
      <w:rFonts w:ascii="Verdana" w:eastAsia="SimSun" w:hAnsi="Verdana" w:cs="Times New Roman"/>
      <w:color w:val="auto"/>
      <w:sz w:val="14"/>
      <w:szCs w:val="24"/>
      <w:lang w:val="en-GB" w:eastAsia="zh-CN"/>
    </w:rPr>
  </w:style>
  <w:style w:type="paragraph" w:customStyle="1" w:styleId="RTFooterText">
    <w:name w:val="RT Footer Text"/>
    <w:basedOn w:val="Normal"/>
    <w:uiPriority w:val="30"/>
    <w:qFormat/>
    <w:rsid w:val="004F5223"/>
    <w:pPr>
      <w:tabs>
        <w:tab w:val="right" w:pos="8278"/>
      </w:tabs>
      <w:spacing w:after="120" w:line="240" w:lineRule="exact"/>
    </w:pPr>
    <w:rPr>
      <w:rFonts w:ascii="Amnesty Trade Gothic Cn" w:hAnsi="Amnesty Trade Gothic Cn"/>
      <w:caps/>
      <w:sz w:val="18"/>
      <w:szCs w:val="15"/>
    </w:rPr>
  </w:style>
  <w:style w:type="character" w:styleId="FollowedHyperlink">
    <w:name w:val="FollowedHyperlink"/>
    <w:basedOn w:val="DefaultParagraphFont"/>
    <w:uiPriority w:val="99"/>
    <w:semiHidden/>
    <w:locked/>
    <w:rsid w:val="00467DA9"/>
    <w:rPr>
      <w:color w:val="000000" w:themeColor="text1"/>
      <w:u w:val="none"/>
    </w:rPr>
  </w:style>
  <w:style w:type="paragraph" w:customStyle="1" w:styleId="BodyText1">
    <w:name w:val="Body Text1"/>
    <w:basedOn w:val="Normal"/>
    <w:uiPriority w:val="99"/>
    <w:semiHidden/>
    <w:rsid w:val="00736F4C"/>
    <w:pPr>
      <w:widowControl w:val="0"/>
      <w:suppressAutoHyphens/>
      <w:autoSpaceDE w:val="0"/>
      <w:autoSpaceDN w:val="0"/>
      <w:adjustRightInd w:val="0"/>
      <w:spacing w:before="120" w:line="240" w:lineRule="atLeast"/>
      <w:textAlignment w:val="center"/>
    </w:pPr>
    <w:rPr>
      <w:rFonts w:ascii="AmnestyTradeGothic-Light" w:hAnsi="AmnestyTradeGothic-Light" w:cs="AmnestyTradeGothic-Light"/>
      <w:color w:val="000000"/>
      <w:sz w:val="18"/>
      <w:szCs w:val="18"/>
      <w:lang w:val="en-GB"/>
    </w:rPr>
  </w:style>
  <w:style w:type="character" w:customStyle="1" w:styleId="RTHighlightedtext">
    <w:name w:val="RT Highlighted text"/>
    <w:basedOn w:val="DefaultParagraphFont"/>
    <w:uiPriority w:val="7"/>
    <w:qFormat/>
    <w:rsid w:val="00DC4510"/>
    <w:rPr>
      <w:shd w:val="clear" w:color="auto" w:fill="FFFF00" w:themeFill="accent1"/>
    </w:rPr>
  </w:style>
  <w:style w:type="paragraph" w:customStyle="1" w:styleId="RTMissionStatement">
    <w:name w:val="RT Mission Statement"/>
    <w:basedOn w:val="Normal"/>
    <w:uiPriority w:val="18"/>
    <w:qFormat/>
    <w:rsid w:val="0090732F"/>
    <w:pPr>
      <w:suppressAutoHyphens/>
      <w:spacing w:after="280" w:line="264" w:lineRule="auto"/>
    </w:pPr>
    <w:rPr>
      <w:rFonts w:ascii="Amnesty Trade Gothic Cn" w:hAnsi="Amnesty Trade Gothic Cn"/>
      <w:b/>
      <w:bCs/>
      <w:noProof/>
      <w:sz w:val="44"/>
      <w:szCs w:val="44"/>
      <w:lang w:val="en-GB" w:eastAsia="en-GB"/>
    </w:rPr>
  </w:style>
  <w:style w:type="character" w:styleId="PageNumber">
    <w:name w:val="page number"/>
    <w:basedOn w:val="DefaultParagraphFont"/>
    <w:uiPriority w:val="99"/>
    <w:semiHidden/>
    <w:locked/>
    <w:rsid w:val="007A0F8F"/>
    <w:rPr>
      <w:rFonts w:asciiTheme="majorHAnsi" w:hAnsiTheme="majorHAnsi"/>
      <w:b/>
      <w:sz w:val="18"/>
    </w:rPr>
  </w:style>
  <w:style w:type="paragraph" w:styleId="BalloonText">
    <w:name w:val="Balloon Text"/>
    <w:basedOn w:val="Normal"/>
    <w:link w:val="BalloonTextChar"/>
    <w:uiPriority w:val="99"/>
    <w:semiHidden/>
    <w:locked/>
    <w:rsid w:val="00972618"/>
    <w:rPr>
      <w:rFonts w:asciiTheme="majorHAnsi" w:hAnsiTheme="majorHAnsi" w:cs="Segoe UI"/>
      <w:sz w:val="18"/>
      <w:szCs w:val="18"/>
    </w:rPr>
  </w:style>
  <w:style w:type="character" w:customStyle="1" w:styleId="BalloonTextChar">
    <w:name w:val="Balloon Text Char"/>
    <w:basedOn w:val="DefaultParagraphFont"/>
    <w:link w:val="BalloonText"/>
    <w:uiPriority w:val="99"/>
    <w:semiHidden/>
    <w:rsid w:val="006B29BE"/>
    <w:rPr>
      <w:rFonts w:asciiTheme="majorHAnsi" w:hAnsiTheme="majorHAnsi" w:cs="Segoe UI"/>
      <w:sz w:val="18"/>
      <w:szCs w:val="18"/>
    </w:rPr>
  </w:style>
  <w:style w:type="paragraph" w:customStyle="1" w:styleId="RTTitlenonumbers">
    <w:name w:val="RT Title (no numbers)"/>
    <w:basedOn w:val="Normal"/>
    <w:next w:val="RTBodyText"/>
    <w:uiPriority w:val="1"/>
    <w:qFormat/>
    <w:rsid w:val="00E54636"/>
    <w:pPr>
      <w:pageBreakBefore/>
      <w:suppressAutoHyphens/>
      <w:spacing w:before="100" w:after="2400" w:line="900" w:lineRule="exact"/>
      <w:contextualSpacing/>
      <w:outlineLvl w:val="0"/>
    </w:pPr>
    <w:rPr>
      <w:rFonts w:ascii="Amnesty Trade Gothic Cn" w:hAnsi="Amnesty Trade Gothic Cn"/>
      <w:b/>
      <w:caps/>
      <w:noProof/>
      <w:sz w:val="90"/>
      <w:lang w:val="en-GB" w:eastAsia="en-GB"/>
    </w:rPr>
  </w:style>
  <w:style w:type="character" w:customStyle="1" w:styleId="RTRemoveHighlight">
    <w:name w:val="RT Remove Highlight"/>
    <w:basedOn w:val="RTHighlightedtext"/>
    <w:uiPriority w:val="39"/>
    <w:qFormat/>
    <w:rsid w:val="00020B73"/>
    <w:rPr>
      <w:bdr w:val="none" w:sz="0" w:space="0" w:color="auto"/>
      <w:shd w:val="clear" w:color="auto" w:fill="auto"/>
    </w:rPr>
  </w:style>
  <w:style w:type="paragraph" w:customStyle="1" w:styleId="RTTitlenumbered">
    <w:name w:val="RT Title (numbered)"/>
    <w:basedOn w:val="RTTitlenonumbers"/>
    <w:next w:val="RTBodyText"/>
    <w:qFormat/>
    <w:rsid w:val="00ED7EA3"/>
    <w:pPr>
      <w:keepNext/>
      <w:numPr>
        <w:numId w:val="3"/>
      </w:numPr>
      <w:tabs>
        <w:tab w:val="left" w:pos="851"/>
      </w:tabs>
      <w:ind w:left="851" w:hanging="851"/>
    </w:pPr>
  </w:style>
  <w:style w:type="paragraph" w:customStyle="1" w:styleId="RTNumberedHeading">
    <w:name w:val="RT Numbered Heading"/>
    <w:basedOn w:val="RTTitlenumbered"/>
    <w:next w:val="RTBodyText"/>
    <w:uiPriority w:val="2"/>
    <w:qFormat/>
    <w:rsid w:val="00D04949"/>
    <w:pPr>
      <w:pageBreakBefore w:val="0"/>
      <w:numPr>
        <w:ilvl w:val="1"/>
      </w:numPr>
      <w:tabs>
        <w:tab w:val="left" w:pos="567"/>
      </w:tabs>
      <w:spacing w:before="480" w:after="100" w:line="420" w:lineRule="exact"/>
      <w:ind w:left="0" w:firstLine="0"/>
      <w:outlineLvl w:val="1"/>
    </w:pPr>
    <w:rPr>
      <w:sz w:val="42"/>
    </w:rPr>
  </w:style>
  <w:style w:type="paragraph" w:customStyle="1" w:styleId="RTQuoteText">
    <w:name w:val="RT Quote Text"/>
    <w:basedOn w:val="RTBodyText"/>
    <w:uiPriority w:val="14"/>
    <w:qFormat/>
    <w:rsid w:val="00DD7A31"/>
    <w:pPr>
      <w:spacing w:after="0"/>
    </w:pPr>
    <w:rPr>
      <w:rFonts w:asciiTheme="majorHAnsi" w:hAnsiTheme="majorHAnsi"/>
      <w:b/>
      <w:sz w:val="36"/>
    </w:rPr>
  </w:style>
  <w:style w:type="paragraph" w:customStyle="1" w:styleId="RTSourceText">
    <w:name w:val="RT Source Text"/>
    <w:basedOn w:val="RTBodyText"/>
    <w:uiPriority w:val="14"/>
    <w:qFormat/>
    <w:rsid w:val="005D0702"/>
    <w:rPr>
      <w:rFonts w:ascii="Amnesty Trade Gothic Cn" w:hAnsi="Amnesty Trade Gothic Cn"/>
    </w:rPr>
  </w:style>
  <w:style w:type="paragraph" w:customStyle="1" w:styleId="RTBulletText">
    <w:name w:val="RT Bullet Text"/>
    <w:basedOn w:val="RTBodyText"/>
    <w:next w:val="RTBodyText"/>
    <w:uiPriority w:val="10"/>
    <w:qFormat/>
    <w:rsid w:val="00A1219D"/>
    <w:pPr>
      <w:numPr>
        <w:ilvl w:val="1"/>
        <w:numId w:val="4"/>
      </w:numPr>
    </w:pPr>
  </w:style>
  <w:style w:type="table" w:customStyle="1" w:styleId="RTTintedPullout">
    <w:name w:val="RT Tinted Pull out"/>
    <w:basedOn w:val="TableNormal"/>
    <w:uiPriority w:val="99"/>
    <w:rsid w:val="00E145BC"/>
    <w:tblPr>
      <w:tblCellMar>
        <w:top w:w="113" w:type="dxa"/>
        <w:left w:w="170" w:type="dxa"/>
        <w:right w:w="0" w:type="dxa"/>
      </w:tblCellMar>
    </w:tblPr>
    <w:tcPr>
      <w:shd w:val="clear" w:color="auto" w:fill="CCCCCC" w:themeFill="accent5"/>
    </w:tcPr>
  </w:style>
  <w:style w:type="paragraph" w:customStyle="1" w:styleId="RTCaptionText">
    <w:name w:val="RT Caption Text"/>
    <w:basedOn w:val="Normal"/>
    <w:uiPriority w:val="19"/>
    <w:qFormat/>
    <w:rsid w:val="00396A31"/>
    <w:rPr>
      <w:rFonts w:ascii="Amnesty Trade Gothic Cn" w:hAnsi="Amnesty Trade Gothic Cn"/>
      <w:i/>
    </w:rPr>
  </w:style>
  <w:style w:type="paragraph" w:customStyle="1" w:styleId="RTSmallQuoteText">
    <w:name w:val="RT Small Quote Text"/>
    <w:basedOn w:val="RTBodyText"/>
    <w:next w:val="RTBodyText"/>
    <w:uiPriority w:val="14"/>
    <w:qFormat/>
    <w:rsid w:val="00DD7A31"/>
    <w:pPr>
      <w:spacing w:before="100" w:after="140"/>
    </w:pPr>
    <w:rPr>
      <w:rFonts w:ascii="Amnesty Trade Gothic Cn" w:hAnsi="Amnesty Trade Gothic Cn"/>
      <w:b/>
      <w:sz w:val="20"/>
    </w:rPr>
  </w:style>
  <w:style w:type="paragraph" w:customStyle="1" w:styleId="RTHeadingnonumbers">
    <w:name w:val="RT Heading (no numbers)"/>
    <w:basedOn w:val="RTNumberedHeading"/>
    <w:next w:val="RTBodyText"/>
    <w:uiPriority w:val="3"/>
    <w:qFormat/>
    <w:rsid w:val="002E16BE"/>
    <w:pPr>
      <w:numPr>
        <w:ilvl w:val="0"/>
        <w:numId w:val="0"/>
      </w:numPr>
      <w:tabs>
        <w:tab w:val="clear" w:pos="567"/>
      </w:tabs>
    </w:pPr>
  </w:style>
  <w:style w:type="paragraph" w:customStyle="1" w:styleId="RTHighlightedHeading">
    <w:name w:val="RT Highlighted Heading"/>
    <w:basedOn w:val="RTBodyText"/>
    <w:uiPriority w:val="7"/>
    <w:qFormat/>
    <w:rsid w:val="00A857B6"/>
    <w:pPr>
      <w:spacing w:after="0" w:line="245" w:lineRule="auto"/>
    </w:pPr>
    <w:rPr>
      <w:rFonts w:ascii="Amnesty Trade Gothic Cn" w:hAnsi="Amnesty Trade Gothic Cn"/>
      <w:b/>
      <w:bCs/>
      <w:caps/>
      <w:sz w:val="56"/>
      <w:szCs w:val="56"/>
    </w:rPr>
  </w:style>
  <w:style w:type="paragraph" w:customStyle="1" w:styleId="RTSubheadinglightCAPS">
    <w:name w:val="RT Subheading light CAPS"/>
    <w:basedOn w:val="RTHighlightedHeading"/>
    <w:uiPriority w:val="5"/>
    <w:qFormat/>
    <w:rsid w:val="00BB723B"/>
    <w:pPr>
      <w:spacing w:before="40"/>
    </w:pPr>
    <w:rPr>
      <w:b w:val="0"/>
      <w:sz w:val="44"/>
      <w:szCs w:val="44"/>
    </w:rPr>
  </w:style>
  <w:style w:type="paragraph" w:customStyle="1" w:styleId="RTStatement">
    <w:name w:val="RT Statement"/>
    <w:basedOn w:val="Normal"/>
    <w:uiPriority w:val="14"/>
    <w:qFormat/>
    <w:rsid w:val="0090732F"/>
    <w:pPr>
      <w:spacing w:line="960" w:lineRule="exact"/>
      <w:contextualSpacing/>
    </w:pPr>
    <w:rPr>
      <w:rFonts w:ascii="Amnesty Trade Gothic Cn" w:hAnsi="Amnesty Trade Gothic Cn"/>
      <w:b/>
      <w:caps/>
      <w:noProof/>
      <w:sz w:val="100"/>
      <w:lang w:val="en-GB" w:eastAsia="en-GB"/>
    </w:rPr>
  </w:style>
  <w:style w:type="paragraph" w:customStyle="1" w:styleId="RTAmnestywebaddress">
    <w:name w:val="RT Amnesty web address"/>
    <w:basedOn w:val="Footer"/>
    <w:link w:val="RTAmnestywebaddressChar"/>
    <w:uiPriority w:val="29"/>
    <w:qFormat/>
    <w:rsid w:val="004F5223"/>
    <w:pPr>
      <w:spacing w:before="80" w:line="240" w:lineRule="auto"/>
    </w:pPr>
    <w:rPr>
      <w:rFonts w:asciiTheme="majorHAnsi" w:hAnsiTheme="majorHAnsi"/>
      <w:b/>
      <w:caps w:val="0"/>
      <w:sz w:val="32"/>
      <w:szCs w:val="32"/>
    </w:rPr>
  </w:style>
  <w:style w:type="character" w:customStyle="1" w:styleId="RTAmnestywebaddressChar">
    <w:name w:val="RT Amnesty web address Char"/>
    <w:basedOn w:val="FooterChar"/>
    <w:link w:val="RTAmnestywebaddress"/>
    <w:uiPriority w:val="29"/>
    <w:rsid w:val="004F5223"/>
    <w:rPr>
      <w:rFonts w:asciiTheme="majorHAnsi" w:hAnsiTheme="majorHAnsi"/>
      <w:b/>
      <w:caps w:val="0"/>
      <w:sz w:val="32"/>
      <w:szCs w:val="32"/>
    </w:rPr>
  </w:style>
  <w:style w:type="character" w:customStyle="1" w:styleId="FootnoteTextChar">
    <w:name w:val="Footnote Text Char"/>
    <w:aliases w:val="Char Char Char,Char Char1,Footnote Text Char Char Char Char Char Char,Footnote Text Char Char Char Char Char1,Footnote reference Char,FA Fu Char,Footnote Text Char Char Char Char Char Char Char Char Char,ft Char,Footnote Te Char"/>
    <w:basedOn w:val="DefaultParagraphFont"/>
    <w:link w:val="FootnoteText"/>
    <w:uiPriority w:val="99"/>
    <w:qFormat/>
    <w:rsid w:val="006B29BE"/>
    <w:rPr>
      <w:sz w:val="14"/>
      <w:szCs w:val="24"/>
    </w:rPr>
  </w:style>
  <w:style w:type="character" w:styleId="FootnoteReference">
    <w:name w:val="footnote reference"/>
    <w:aliases w:val="4_G,Footnotes refss,Footnote text,ftref,16 Point,Superscript 6 Point,Footnote + Arial,10 pt,Black,Footnote,(NECG) Footnote Reference,Footnote Text1,Ref,de nota al pie,Footnote number, BVI fnr,BVI fnr, BVI fnr Car Car,BVI fnr Car,Re,f"/>
    <w:basedOn w:val="DefaultParagraphFont"/>
    <w:link w:val="BVIfnrCarCharChar1CharCharCharChar"/>
    <w:unhideWhenUsed/>
    <w:qFormat/>
    <w:locked/>
    <w:rsid w:val="00B418F0"/>
    <w:rPr>
      <w:vertAlign w:val="superscript"/>
    </w:rPr>
  </w:style>
  <w:style w:type="numbering" w:styleId="111111">
    <w:name w:val="Outline List 2"/>
    <w:basedOn w:val="NoList"/>
    <w:uiPriority w:val="99"/>
    <w:semiHidden/>
    <w:unhideWhenUsed/>
    <w:locked/>
    <w:rsid w:val="00864407"/>
    <w:pPr>
      <w:numPr>
        <w:numId w:val="5"/>
      </w:numPr>
    </w:pPr>
  </w:style>
  <w:style w:type="paragraph" w:styleId="TOC3">
    <w:name w:val="toc 3"/>
    <w:basedOn w:val="TOC4"/>
    <w:next w:val="Normal"/>
    <w:uiPriority w:val="39"/>
    <w:locked/>
    <w:rsid w:val="00C20EE2"/>
    <w:pPr>
      <w:ind w:left="369" w:hanging="369"/>
      <w:contextualSpacing w:val="0"/>
    </w:pPr>
    <w:rPr>
      <w:caps/>
    </w:rPr>
  </w:style>
  <w:style w:type="paragraph" w:styleId="TOC1">
    <w:name w:val="toc 1"/>
    <w:basedOn w:val="Normal"/>
    <w:next w:val="Normal"/>
    <w:uiPriority w:val="39"/>
    <w:locked/>
    <w:rsid w:val="002F10AC"/>
    <w:pPr>
      <w:tabs>
        <w:tab w:val="right" w:pos="8222"/>
      </w:tabs>
      <w:spacing w:before="240" w:after="113"/>
    </w:pPr>
    <w:rPr>
      <w:rFonts w:asciiTheme="majorHAnsi" w:hAnsiTheme="majorHAnsi"/>
      <w:b/>
      <w:bCs/>
      <w:caps/>
      <w:sz w:val="22"/>
      <w:szCs w:val="22"/>
    </w:rPr>
  </w:style>
  <w:style w:type="paragraph" w:styleId="TOC2">
    <w:name w:val="toc 2"/>
    <w:basedOn w:val="Normal"/>
    <w:next w:val="Normal"/>
    <w:uiPriority w:val="39"/>
    <w:locked/>
    <w:rsid w:val="00A164C2"/>
    <w:pPr>
      <w:tabs>
        <w:tab w:val="right" w:pos="8222"/>
      </w:tabs>
      <w:spacing w:after="113"/>
      <w:ind w:left="397" w:hanging="397"/>
    </w:pPr>
    <w:rPr>
      <w:rFonts w:asciiTheme="minorHAnsi" w:hAnsiTheme="minorHAnsi"/>
      <w:caps/>
      <w:noProof/>
      <w:sz w:val="20"/>
    </w:rPr>
  </w:style>
  <w:style w:type="paragraph" w:styleId="TOC4">
    <w:name w:val="toc 4"/>
    <w:basedOn w:val="Normal"/>
    <w:next w:val="Normal"/>
    <w:autoRedefine/>
    <w:uiPriority w:val="98"/>
    <w:semiHidden/>
    <w:locked/>
    <w:rsid w:val="00847900"/>
    <w:pPr>
      <w:tabs>
        <w:tab w:val="right" w:pos="8222"/>
      </w:tabs>
      <w:spacing w:after="113"/>
      <w:contextualSpacing/>
    </w:pPr>
    <w:rPr>
      <w:rFonts w:asciiTheme="majorHAnsi" w:hAnsiTheme="majorHAnsi"/>
      <w:noProof/>
      <w:sz w:val="18"/>
      <w:szCs w:val="18"/>
    </w:rPr>
  </w:style>
  <w:style w:type="paragraph" w:styleId="TOC5">
    <w:name w:val="toc 5"/>
    <w:basedOn w:val="Normal"/>
    <w:next w:val="Normal"/>
    <w:autoRedefine/>
    <w:uiPriority w:val="98"/>
    <w:semiHidden/>
    <w:locked/>
    <w:rsid w:val="00337B08"/>
    <w:pPr>
      <w:ind w:left="560"/>
    </w:pPr>
  </w:style>
  <w:style w:type="paragraph" w:styleId="TOC6">
    <w:name w:val="toc 6"/>
    <w:basedOn w:val="Normal"/>
    <w:next w:val="Normal"/>
    <w:autoRedefine/>
    <w:uiPriority w:val="98"/>
    <w:semiHidden/>
    <w:locked/>
    <w:rsid w:val="00337B08"/>
    <w:pPr>
      <w:ind w:left="700"/>
    </w:pPr>
  </w:style>
  <w:style w:type="paragraph" w:styleId="TOC7">
    <w:name w:val="toc 7"/>
    <w:basedOn w:val="Normal"/>
    <w:next w:val="Normal"/>
    <w:autoRedefine/>
    <w:uiPriority w:val="98"/>
    <w:semiHidden/>
    <w:locked/>
    <w:rsid w:val="00337B08"/>
    <w:pPr>
      <w:ind w:left="840"/>
    </w:pPr>
  </w:style>
  <w:style w:type="paragraph" w:styleId="TOC8">
    <w:name w:val="toc 8"/>
    <w:basedOn w:val="Normal"/>
    <w:next w:val="Normal"/>
    <w:autoRedefine/>
    <w:uiPriority w:val="98"/>
    <w:semiHidden/>
    <w:locked/>
    <w:rsid w:val="00337B08"/>
    <w:pPr>
      <w:ind w:left="980"/>
    </w:pPr>
  </w:style>
  <w:style w:type="table" w:customStyle="1" w:styleId="RTTableStyle1">
    <w:name w:val="RT Table Style 1"/>
    <w:basedOn w:val="TableNormal"/>
    <w:uiPriority w:val="99"/>
    <w:rsid w:val="00DB3D14"/>
    <w:rPr>
      <w:sz w:val="18"/>
    </w:rPr>
    <w:tblPr>
      <w:tblStyleRowBandSize w:val="1"/>
      <w:tblInd w:w="108" w:type="dxa"/>
      <w:tblCellMar>
        <w:top w:w="57" w:type="dxa"/>
        <w:bottom w:w="28" w:type="dxa"/>
      </w:tblCellMar>
    </w:tblPr>
    <w:tblStylePr w:type="firstRow">
      <w:pPr>
        <w:wordWrap/>
        <w:spacing w:beforeLines="0" w:before="0" w:beforeAutospacing="0" w:afterLines="0" w:after="0" w:afterAutospacing="0" w:line="240" w:lineRule="auto"/>
        <w:jc w:val="left"/>
      </w:pPr>
      <w:rPr>
        <w:rFonts w:asciiTheme="majorHAnsi" w:hAnsiTheme="majorHAnsi"/>
        <w:b/>
        <w:caps/>
        <w:smallCaps w:val="0"/>
        <w:sz w:val="22"/>
      </w:rPr>
      <w:tblPr/>
      <w:trPr>
        <w:tblHeader/>
      </w:trPr>
      <w:tcPr>
        <w:shd w:val="clear" w:color="auto" w:fill="CCCCCC" w:themeFill="accent5"/>
        <w:vAlign w:val="center"/>
      </w:tcPr>
    </w:tblStylePr>
    <w:tblStylePr w:type="firstCol">
      <w:rPr>
        <w:rFonts w:asciiTheme="majorHAnsi" w:hAnsiTheme="majorHAnsi"/>
        <w:b/>
        <w:caps/>
        <w:smallCaps w:val="0"/>
        <w:sz w:val="18"/>
      </w:rPr>
    </w:tblStylePr>
    <w:tblStylePr w:type="band2Horz">
      <w:tblPr/>
      <w:tcPr>
        <w:shd w:val="clear" w:color="auto" w:fill="CCCCCC" w:themeFill="accent5"/>
      </w:tcPr>
    </w:tblStylePr>
  </w:style>
  <w:style w:type="table" w:customStyle="1" w:styleId="RTMultiColumnStyle">
    <w:name w:val="RT Multi Column Style"/>
    <w:basedOn w:val="TableNormal"/>
    <w:uiPriority w:val="99"/>
    <w:rsid w:val="00E51D10"/>
    <w:pPr>
      <w:spacing w:after="120" w:line="240" w:lineRule="exact"/>
    </w:pPr>
    <w:rPr>
      <w:sz w:val="18"/>
    </w:rPr>
    <w:tblPr>
      <w:tblCellMar>
        <w:top w:w="113" w:type="dxa"/>
        <w:left w:w="0" w:type="dxa"/>
        <w:right w:w="0" w:type="dxa"/>
      </w:tblCellMar>
    </w:tblPr>
  </w:style>
  <w:style w:type="paragraph" w:customStyle="1" w:styleId="Backcoverblurb">
    <w:name w:val="Back cover blurb"/>
    <w:basedOn w:val="RTBodyText"/>
    <w:uiPriority w:val="99"/>
    <w:semiHidden/>
    <w:qFormat/>
    <w:rsid w:val="00FF33F9"/>
    <w:pPr>
      <w:spacing w:line="310" w:lineRule="exact"/>
    </w:pPr>
  </w:style>
  <w:style w:type="paragraph" w:customStyle="1" w:styleId="Backcoversubtitle">
    <w:name w:val="Back cover sub title"/>
    <w:basedOn w:val="RTBodyText"/>
    <w:uiPriority w:val="99"/>
    <w:semiHidden/>
    <w:qFormat/>
    <w:rsid w:val="00FF33F9"/>
    <w:pPr>
      <w:spacing w:line="320" w:lineRule="exact"/>
    </w:pPr>
    <w:rPr>
      <w:rFonts w:ascii="Amnesty Trade Gothic Cn" w:hAnsi="Amnesty Trade Gothic Cn"/>
      <w:bCs/>
      <w:caps/>
      <w:sz w:val="32"/>
      <w:szCs w:val="56"/>
    </w:rPr>
  </w:style>
  <w:style w:type="paragraph" w:customStyle="1" w:styleId="Frontcovermaintitle">
    <w:name w:val="Front cover main title"/>
    <w:basedOn w:val="Normal"/>
    <w:uiPriority w:val="99"/>
    <w:semiHidden/>
    <w:qFormat/>
    <w:rsid w:val="0090732F"/>
    <w:pPr>
      <w:spacing w:before="9760" w:after="60" w:line="252" w:lineRule="auto"/>
      <w:contextualSpacing/>
    </w:pPr>
    <w:rPr>
      <w:rFonts w:ascii="Amnesty Trade Gothic Cn" w:hAnsi="Amnesty Trade Gothic Cn"/>
      <w:b/>
      <w:caps/>
      <w:noProof/>
      <w:sz w:val="96"/>
      <w:szCs w:val="96"/>
      <w:lang w:val="en-GB" w:eastAsia="en-GB"/>
    </w:rPr>
  </w:style>
  <w:style w:type="paragraph" w:styleId="BodyText">
    <w:name w:val="Body Text"/>
    <w:basedOn w:val="Normal"/>
    <w:link w:val="BodyTextChar"/>
    <w:uiPriority w:val="89"/>
    <w:semiHidden/>
    <w:locked/>
    <w:rsid w:val="00F92A5D"/>
    <w:pPr>
      <w:widowControl w:val="0"/>
      <w:suppressAutoHyphens/>
      <w:spacing w:after="120" w:line="240" w:lineRule="atLeast"/>
    </w:pPr>
    <w:rPr>
      <w:rFonts w:ascii="Amnesty Trade Gothic" w:eastAsia="Times New Roman" w:hAnsi="Amnesty Trade Gothic" w:cs="Times New Roman"/>
      <w:color w:val="000000"/>
      <w:sz w:val="18"/>
      <w:szCs w:val="24"/>
      <w:lang w:val="en-GB" w:eastAsia="ar-SA"/>
    </w:rPr>
  </w:style>
  <w:style w:type="character" w:customStyle="1" w:styleId="BodyTextChar">
    <w:name w:val="Body Text Char"/>
    <w:basedOn w:val="DefaultParagraphFont"/>
    <w:link w:val="BodyText"/>
    <w:uiPriority w:val="89"/>
    <w:semiHidden/>
    <w:rsid w:val="006B29BE"/>
    <w:rPr>
      <w:rFonts w:ascii="Amnesty Trade Gothic" w:eastAsia="Times New Roman" w:hAnsi="Amnesty Trade Gothic" w:cs="Times New Roman"/>
      <w:color w:val="000000"/>
      <w:sz w:val="18"/>
      <w:szCs w:val="24"/>
      <w:lang w:val="en-GB" w:eastAsia="ar-SA"/>
    </w:rPr>
  </w:style>
  <w:style w:type="paragraph" w:customStyle="1" w:styleId="RTsub-sub-subheading">
    <w:name w:val="RT sub-sub-sub heading"/>
    <w:basedOn w:val="RTBodyText"/>
    <w:semiHidden/>
    <w:qFormat/>
    <w:rsid w:val="00F73607"/>
    <w:rPr>
      <w:b/>
    </w:rPr>
  </w:style>
  <w:style w:type="paragraph" w:customStyle="1" w:styleId="RTSmallheadingCAPS">
    <w:name w:val="RT Small heading CAPS"/>
    <w:basedOn w:val="Normal"/>
    <w:uiPriority w:val="6"/>
    <w:qFormat/>
    <w:rsid w:val="00B67C03"/>
    <w:pPr>
      <w:keepNext/>
      <w:spacing w:line="320" w:lineRule="exact"/>
    </w:pPr>
    <w:rPr>
      <w:rFonts w:asciiTheme="majorHAnsi" w:eastAsiaTheme="minorHAnsi" w:hAnsiTheme="majorHAnsi" w:cs="Times New Roman"/>
      <w:b/>
      <w:caps/>
      <w:color w:val="000000"/>
      <w:sz w:val="22"/>
      <w:szCs w:val="32"/>
      <w:lang w:val="en-GB" w:eastAsia="en-GB"/>
    </w:rPr>
  </w:style>
  <w:style w:type="paragraph" w:customStyle="1" w:styleId="Footnotes">
    <w:name w:val="Footnotes"/>
    <w:basedOn w:val="RTBodyText"/>
    <w:uiPriority w:val="99"/>
    <w:semiHidden/>
    <w:qFormat/>
    <w:rsid w:val="002C2DB2"/>
    <w:rPr>
      <w:sz w:val="14"/>
    </w:rPr>
  </w:style>
  <w:style w:type="paragraph" w:customStyle="1" w:styleId="RTSubheadingnonumbers">
    <w:name w:val="RT Subheading (no numbers)"/>
    <w:basedOn w:val="RTNumberedHeading"/>
    <w:next w:val="RTBodyText"/>
    <w:uiPriority w:val="5"/>
    <w:qFormat/>
    <w:rsid w:val="002E16BE"/>
    <w:pPr>
      <w:numPr>
        <w:ilvl w:val="0"/>
        <w:numId w:val="0"/>
      </w:numPr>
      <w:tabs>
        <w:tab w:val="clear" w:pos="567"/>
      </w:tabs>
      <w:spacing w:before="360" w:after="113" w:line="320" w:lineRule="exact"/>
      <w:outlineLvl w:val="2"/>
    </w:pPr>
    <w:rPr>
      <w:sz w:val="32"/>
    </w:rPr>
  </w:style>
  <w:style w:type="paragraph" w:customStyle="1" w:styleId="RTNumberedSubheading">
    <w:name w:val="RT Numbered Subheading"/>
    <w:basedOn w:val="RTSubheadingnonumbers"/>
    <w:next w:val="RTBodyText"/>
    <w:uiPriority w:val="4"/>
    <w:qFormat/>
    <w:rsid w:val="002E16BE"/>
    <w:pPr>
      <w:keepLines/>
      <w:numPr>
        <w:ilvl w:val="2"/>
        <w:numId w:val="3"/>
      </w:numPr>
      <w:tabs>
        <w:tab w:val="left" w:pos="652"/>
      </w:tabs>
      <w:spacing w:line="252" w:lineRule="auto"/>
      <w:ind w:left="652" w:hanging="652"/>
      <w:contextualSpacing w:val="0"/>
    </w:pPr>
  </w:style>
  <w:style w:type="paragraph" w:customStyle="1" w:styleId="RTCasestudytitle">
    <w:name w:val="RT Case study title"/>
    <w:basedOn w:val="Normal"/>
    <w:uiPriority w:val="97"/>
    <w:qFormat/>
    <w:rsid w:val="00753EB0"/>
    <w:rPr>
      <w:rFonts w:ascii="Amnesty Trade Gothic Light" w:hAnsi="Amnesty Trade Gothic Light"/>
      <w:i/>
    </w:rPr>
  </w:style>
  <w:style w:type="paragraph" w:customStyle="1" w:styleId="RTFootnotetext">
    <w:name w:val="RT Footnote text"/>
    <w:basedOn w:val="FootnoteText"/>
    <w:link w:val="RTFootnotetextChar"/>
    <w:uiPriority w:val="97"/>
    <w:qFormat/>
    <w:rsid w:val="00554F19"/>
  </w:style>
  <w:style w:type="character" w:customStyle="1" w:styleId="RTFootnotetextChar">
    <w:name w:val="RT Footnote text Char"/>
    <w:basedOn w:val="FootnoteTextChar"/>
    <w:link w:val="RTFootnotetext"/>
    <w:uiPriority w:val="97"/>
    <w:rsid w:val="00B67C03"/>
    <w:rPr>
      <w:sz w:val="14"/>
      <w:szCs w:val="24"/>
    </w:rPr>
  </w:style>
  <w:style w:type="paragraph" w:customStyle="1" w:styleId="RTTitle-NonTOC">
    <w:name w:val="RT Title - Non TOC"/>
    <w:basedOn w:val="RTTitlenonumbers"/>
    <w:uiPriority w:val="99"/>
    <w:qFormat/>
    <w:rsid w:val="003C08D2"/>
    <w:pPr>
      <w:outlineLvl w:val="9"/>
    </w:pPr>
  </w:style>
  <w:style w:type="paragraph" w:customStyle="1" w:styleId="RTIndentedBulletText">
    <w:name w:val="RT Indented Bullet Text"/>
    <w:basedOn w:val="RTBulletText"/>
    <w:uiPriority w:val="11"/>
    <w:qFormat/>
    <w:rsid w:val="0038299B"/>
    <w:pPr>
      <w:numPr>
        <w:ilvl w:val="2"/>
        <w:numId w:val="11"/>
      </w:numPr>
      <w:tabs>
        <w:tab w:val="left" w:pos="1134"/>
      </w:tabs>
      <w:ind w:left="1134" w:hanging="283"/>
    </w:pPr>
  </w:style>
  <w:style w:type="paragraph" w:customStyle="1" w:styleId="RTFootertitle">
    <w:name w:val="RT Footer title"/>
    <w:basedOn w:val="Footer"/>
    <w:uiPriority w:val="99"/>
    <w:qFormat/>
    <w:rsid w:val="001D7DAE"/>
    <w:rPr>
      <w:rFonts w:ascii="Amnesty Trade Gothic Cn" w:hAnsi="Amnesty Trade Gothic Cn"/>
      <w:b/>
    </w:rPr>
  </w:style>
  <w:style w:type="paragraph" w:styleId="Revision">
    <w:name w:val="Revision"/>
    <w:hidden/>
    <w:uiPriority w:val="99"/>
    <w:semiHidden/>
    <w:rsid w:val="003D717F"/>
    <w:rPr>
      <w:rFonts w:ascii="Amnesty Trade Gothic Light Obl" w:hAnsi="Amnesty Trade Gothic Light Obl"/>
      <w:sz w:val="14"/>
    </w:rPr>
  </w:style>
  <w:style w:type="paragraph" w:styleId="ListParagraph">
    <w:name w:val="List Paragraph"/>
    <w:basedOn w:val="Normal"/>
    <w:uiPriority w:val="99"/>
    <w:semiHidden/>
    <w:qFormat/>
    <w:locked/>
    <w:rsid w:val="00CD3161"/>
    <w:pPr>
      <w:ind w:left="720"/>
      <w:contextualSpacing/>
    </w:pPr>
  </w:style>
  <w:style w:type="paragraph" w:customStyle="1" w:styleId="RTFrontcovermaintitle">
    <w:name w:val="RT Front cover main title"/>
    <w:next w:val="RTSubheadinglightCAPS"/>
    <w:qFormat/>
    <w:rsid w:val="00552CB7"/>
    <w:pPr>
      <w:spacing w:before="9680" w:after="60" w:line="1340" w:lineRule="exact"/>
    </w:pPr>
    <w:rPr>
      <w:rFonts w:ascii="Amnesty Trade Gothic Cn" w:hAnsi="Amnesty Trade Gothic Cn"/>
      <w:b/>
      <w:caps/>
      <w:noProof/>
      <w:sz w:val="96"/>
      <w:szCs w:val="96"/>
      <w:shd w:val="clear" w:color="auto" w:fill="FFFF00" w:themeFill="accent1"/>
      <w:lang w:val="en-GB" w:eastAsia="en-GB"/>
    </w:rPr>
  </w:style>
  <w:style w:type="paragraph" w:customStyle="1" w:styleId="RTAmnestyfooter">
    <w:name w:val="RT Amnesty footer"/>
    <w:basedOn w:val="Footer"/>
    <w:uiPriority w:val="99"/>
    <w:qFormat/>
    <w:rsid w:val="00914551"/>
    <w:pPr>
      <w:spacing w:before="80"/>
    </w:pPr>
    <w:rPr>
      <w:rFonts w:ascii="Amnesty Trade Gothic Cn" w:hAnsi="Amnesty Trade Gothic Cn"/>
      <w:caps w:val="0"/>
    </w:rPr>
  </w:style>
  <w:style w:type="paragraph" w:customStyle="1" w:styleId="RTFooterreporttitle">
    <w:name w:val="RT Footer report title"/>
    <w:basedOn w:val="Footer"/>
    <w:uiPriority w:val="99"/>
    <w:qFormat/>
    <w:rsid w:val="00914551"/>
    <w:rPr>
      <w:rFonts w:ascii="Amnesty Trade Gothic Cn" w:hAnsi="Amnesty Trade Gothic Cn"/>
      <w:b/>
    </w:rPr>
  </w:style>
  <w:style w:type="paragraph" w:customStyle="1" w:styleId="RTFooterreportsubtitle">
    <w:name w:val="RT Footer report subtitle"/>
    <w:basedOn w:val="Footer"/>
    <w:uiPriority w:val="99"/>
    <w:qFormat/>
    <w:rsid w:val="00914551"/>
    <w:rPr>
      <w:rFonts w:ascii="Amnesty Trade Gothic Cn" w:hAnsi="Amnesty Trade Gothic Cn"/>
    </w:rPr>
  </w:style>
  <w:style w:type="paragraph" w:customStyle="1" w:styleId="RTBackcoversubheading">
    <w:name w:val="RT Back cover subheading"/>
    <w:basedOn w:val="RTSubheadinglightCAPS"/>
    <w:uiPriority w:val="99"/>
    <w:qFormat/>
    <w:rsid w:val="00472CD3"/>
    <w:pPr>
      <w:framePr w:hSpace="181" w:wrap="around" w:vAnchor="page" w:hAnchor="page" w:x="2042" w:y="13155"/>
      <w:spacing w:after="240"/>
      <w:suppressOverlap/>
    </w:pPr>
    <w:rPr>
      <w:sz w:val="32"/>
      <w:szCs w:val="56"/>
    </w:rPr>
  </w:style>
  <w:style w:type="paragraph" w:customStyle="1" w:styleId="RTBackcoverblurb">
    <w:name w:val="RT Back cover blurb"/>
    <w:basedOn w:val="Backcoverblurb"/>
    <w:uiPriority w:val="99"/>
    <w:qFormat/>
    <w:rsid w:val="00D0792D"/>
    <w:rPr>
      <w:sz w:val="24"/>
    </w:rPr>
  </w:style>
  <w:style w:type="character" w:styleId="CommentReference">
    <w:name w:val="annotation reference"/>
    <w:basedOn w:val="DefaultParagraphFont"/>
    <w:uiPriority w:val="99"/>
    <w:unhideWhenUsed/>
    <w:locked/>
    <w:rsid w:val="00F10C8F"/>
    <w:rPr>
      <w:rFonts w:ascii="Arial" w:hAnsi="Arial"/>
      <w:sz w:val="16"/>
      <w:szCs w:val="16"/>
    </w:rPr>
  </w:style>
  <w:style w:type="paragraph" w:styleId="CommentText">
    <w:name w:val="annotation text"/>
    <w:basedOn w:val="Normal"/>
    <w:link w:val="CommentTextChar"/>
    <w:uiPriority w:val="99"/>
    <w:unhideWhenUsed/>
    <w:locked/>
    <w:rsid w:val="00F10C8F"/>
    <w:rPr>
      <w:rFonts w:ascii="Arial" w:hAnsi="Arial"/>
      <w:sz w:val="20"/>
    </w:rPr>
  </w:style>
  <w:style w:type="character" w:customStyle="1" w:styleId="CommentTextChar">
    <w:name w:val="Comment Text Char"/>
    <w:basedOn w:val="DefaultParagraphFont"/>
    <w:link w:val="CommentText"/>
    <w:uiPriority w:val="99"/>
    <w:rsid w:val="00F10C8F"/>
    <w:rPr>
      <w:rFonts w:ascii="Arial" w:hAnsi="Arial"/>
    </w:rPr>
  </w:style>
  <w:style w:type="paragraph" w:styleId="CommentSubject">
    <w:name w:val="annotation subject"/>
    <w:basedOn w:val="CommentText"/>
    <w:next w:val="CommentText"/>
    <w:link w:val="CommentSubjectChar"/>
    <w:uiPriority w:val="99"/>
    <w:semiHidden/>
    <w:unhideWhenUsed/>
    <w:locked/>
    <w:rsid w:val="00F10C8F"/>
    <w:rPr>
      <w:b/>
      <w:bCs/>
    </w:rPr>
  </w:style>
  <w:style w:type="character" w:customStyle="1" w:styleId="CommentSubjectChar">
    <w:name w:val="Comment Subject Char"/>
    <w:basedOn w:val="CommentTextChar"/>
    <w:link w:val="CommentSubject"/>
    <w:uiPriority w:val="99"/>
    <w:semiHidden/>
    <w:rsid w:val="00F10C8F"/>
    <w:rPr>
      <w:rFonts w:ascii="Arial" w:hAnsi="Arial"/>
      <w:b/>
      <w:bCs/>
    </w:rPr>
  </w:style>
  <w:style w:type="paragraph" w:customStyle="1" w:styleId="BVIfnrCarCharChar1CharCharCharChar">
    <w:name w:val="BVI fnr Car Char Char1 Char Char Char Char"/>
    <w:aliases w:val="BVI fnr Car Char Char Char Char Char Char,BVI fnr Car Car Car Char Char Char Char Char Char,BVI fnr Car Car Char Char Char Char Char Char"/>
    <w:basedOn w:val="Normal"/>
    <w:link w:val="FootnoteReference"/>
    <w:rsid w:val="00F154B5"/>
    <w:pPr>
      <w:spacing w:after="160" w:line="240" w:lineRule="exact"/>
    </w:pPr>
    <w:rPr>
      <w:rFonts w:ascii="Amnesty Trade Gothic Light" w:hAnsi="Amnesty Trade Gothic Light"/>
      <w:sz w:val="20"/>
      <w:vertAlign w:val="superscript"/>
    </w:rPr>
  </w:style>
  <w:style w:type="paragraph" w:customStyle="1" w:styleId="AIBodyText">
    <w:name w:val="AI Body Text"/>
    <w:basedOn w:val="Normal"/>
    <w:link w:val="AIBodyTextChar"/>
    <w:uiPriority w:val="99"/>
    <w:qFormat/>
    <w:rsid w:val="00C81EC9"/>
    <w:pPr>
      <w:suppressAutoHyphens/>
      <w:spacing w:after="120" w:line="240" w:lineRule="exact"/>
    </w:pPr>
    <w:rPr>
      <w:rFonts w:asciiTheme="minorHAnsi" w:hAnsiTheme="minorHAnsi"/>
      <w:sz w:val="18"/>
      <w:lang w:val="en-GB"/>
    </w:rPr>
  </w:style>
  <w:style w:type="character" w:styleId="Hyperlink">
    <w:name w:val="Hyperlink"/>
    <w:basedOn w:val="DefaultParagraphFont"/>
    <w:uiPriority w:val="99"/>
    <w:unhideWhenUsed/>
    <w:locked/>
    <w:rsid w:val="006D0F3B"/>
    <w:rPr>
      <w:color w:val="000000" w:themeColor="hyperlink"/>
      <w:u w:val="single"/>
    </w:rPr>
  </w:style>
  <w:style w:type="character" w:customStyle="1" w:styleId="AIBodyTextChar">
    <w:name w:val="AI Body Text Char"/>
    <w:link w:val="AIBodyText"/>
    <w:uiPriority w:val="99"/>
    <w:qFormat/>
    <w:rsid w:val="00C81EC9"/>
    <w:rPr>
      <w:rFonts w:asciiTheme="minorHAnsi" w:hAnsiTheme="minorHAnsi"/>
      <w:sz w:val="18"/>
      <w:lang w:val="en-GB"/>
    </w:rPr>
  </w:style>
  <w:style w:type="character" w:styleId="Emphasis">
    <w:name w:val="Emphasis"/>
    <w:uiPriority w:val="20"/>
    <w:qFormat/>
    <w:locked/>
    <w:rsid w:val="002F1FAB"/>
    <w:rPr>
      <w:i/>
      <w:iCs/>
    </w:rPr>
  </w:style>
  <w:style w:type="paragraph" w:customStyle="1" w:styleId="AITitle-Numbered">
    <w:name w:val="AI Title - Numbered"/>
    <w:basedOn w:val="Normal"/>
    <w:next w:val="AIBodyText"/>
    <w:uiPriority w:val="1"/>
    <w:qFormat/>
    <w:rsid w:val="00677EC2"/>
    <w:pPr>
      <w:keepNext/>
      <w:pageBreakBefore/>
      <w:suppressAutoHyphens/>
      <w:spacing w:before="100" w:after="2400" w:line="900" w:lineRule="exact"/>
      <w:ind w:left="454" w:hanging="454"/>
      <w:contextualSpacing/>
      <w:outlineLvl w:val="0"/>
    </w:pPr>
    <w:rPr>
      <w:rFonts w:ascii="Amnesty Trade Gothic Cn" w:hAnsi="Amnesty Trade Gothic Cn"/>
      <w:b/>
      <w:caps/>
      <w:noProof/>
      <w:sz w:val="90"/>
      <w:lang w:val="en-GB" w:eastAsia="en-GB"/>
    </w:rPr>
  </w:style>
  <w:style w:type="character" w:styleId="Strong">
    <w:name w:val="Strong"/>
    <w:basedOn w:val="DefaultParagraphFont"/>
    <w:uiPriority w:val="22"/>
    <w:qFormat/>
    <w:locked/>
    <w:rsid w:val="007A684B"/>
    <w:rPr>
      <w:b/>
      <w:bCs/>
    </w:rPr>
  </w:style>
  <w:style w:type="paragraph" w:customStyle="1" w:styleId="AINumberedHeading">
    <w:name w:val="AI Numbered Heading"/>
    <w:basedOn w:val="AITitle-Numbered"/>
    <w:next w:val="AIBodyText"/>
    <w:uiPriority w:val="2"/>
    <w:qFormat/>
    <w:rsid w:val="00677EC2"/>
    <w:pPr>
      <w:pageBreakBefore w:val="0"/>
      <w:tabs>
        <w:tab w:val="num" w:pos="454"/>
      </w:tabs>
      <w:spacing w:after="100" w:line="420" w:lineRule="exact"/>
    </w:pPr>
    <w:rPr>
      <w:sz w:val="42"/>
    </w:rPr>
  </w:style>
  <w:style w:type="numbering" w:customStyle="1" w:styleId="AINumberedList">
    <w:name w:val="AI Numbered List"/>
    <w:rsid w:val="00BD4080"/>
  </w:style>
  <w:style w:type="character" w:customStyle="1" w:styleId="apple-converted-space">
    <w:name w:val="apple-converted-space"/>
    <w:basedOn w:val="DefaultParagraphFont"/>
    <w:rsid w:val="003D24E3"/>
  </w:style>
  <w:style w:type="table" w:customStyle="1" w:styleId="TableGrid1">
    <w:name w:val="Table Grid1"/>
    <w:basedOn w:val="TableNormal"/>
    <w:next w:val="TableGrid"/>
    <w:uiPriority w:val="59"/>
    <w:rsid w:val="00AF12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locked/>
    <w:rsid w:val="00AF12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mnesty Trade Gothic Light" w:eastAsiaTheme="minorEastAsia" w:hAnsi="Amnesty Trade Gothic Light" w:cs="Arial"/>
        <w:color w:val="000000" w:themeColor="text1"/>
        <w:lang w:val="en-US" w:eastAsia="en-US" w:bidi="ar-SA"/>
      </w:rPr>
    </w:rPrDefault>
    <w:pPrDefault/>
  </w:docDefaults>
  <w:latentStyles w:defLockedState="1" w:defUIPriority="99" w:defSemiHidden="1" w:defUnhideWhenUsed="1" w:defQFormat="0" w:count="267">
    <w:lsdException w:name="Normal" w:locked="0" w:semiHidden="0" w:unhideWhenUsed="0" w:qFormat="1"/>
    <w:lsdException w:name="heading 1" w:semiHidden="0" w:unhideWhenUsed="0" w:qFormat="1"/>
    <w:lsdException w:name="heading 2" w:unhideWhenUsed="0" w:qFormat="1"/>
    <w:lsdException w:name="heading 3" w:unhideWhenUsed="0" w:qFormat="1"/>
    <w:lsdException w:name="heading 4" w:unhideWhenUsed="0"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98"/>
    <w:lsdException w:name="footnote text" w:qFormat="1"/>
    <w:lsdException w:name="caption" w:qFormat="1"/>
    <w:lsdException w:name="footnote reference" w:uiPriority="0" w:qFormat="1"/>
    <w:lsdException w:name="List" w:unhideWhenUsed="0"/>
    <w:lsdException w:name="List 2" w:unhideWhenUsed="0"/>
    <w:lsdException w:name="List 3" w:unhideWhenUsed="0"/>
    <w:lsdException w:name="Title" w:semiHidden="0" w:unhideWhenUsed="0"/>
    <w:lsdException w:name="Default Paragraph Font" w:locked="0" w:uiPriority="1"/>
    <w:lsdException w:name="Body Text" w:uiPriority="0"/>
    <w:lsdException w:name="List Continue 5" w:unhideWhenUsed="0"/>
    <w:lsdException w:name="Message Header" w:unhideWhenUsed="0"/>
    <w:lsdException w:name="Subtitle" w:unhideWhenUsed="0" w:qFormat="1"/>
    <w:lsdException w:name="Salutation" w:unhideWhenUsed="0"/>
    <w:lsdException w:name="Strong" w:semiHidden="0" w:uiPriority="22" w:unhideWhenUsed="0" w:qFormat="1"/>
    <w:lsdException w:name="Emphasis" w:semiHidden="0" w:uiPriority="20" w:unhideWhenUsed="0" w:qFormat="1"/>
    <w:lsdException w:name="HTML Top of Form" w:locked="0"/>
    <w:lsdException w:name="HTML Bottom of Form" w:locked="0"/>
    <w:lsdException w:name="Normal Table" w:locked="0"/>
    <w:lsdException w:name="No List" w:locked="0"/>
    <w:lsdException w:name="Table Grid" w:semiHidden="0" w:uiPriority="59" w:unhideWhenUsed="0"/>
    <w:lsdException w:name="Placeholder Text" w:unhideWhenUsed="0"/>
    <w:lsdException w:name="No Spacing"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nhideWhenUsed="0"/>
    <w:lsdException w:name="List Paragraph" w:semiHidden="0"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nhideWhenUsed="0"/>
    <w:lsdException w:name="Subtle Reference" w:semiHidden="0" w:unhideWhenUsed="0"/>
    <w:lsdException w:name="Intense Reference" w:semiHidden="0" w:unhideWhenUsed="0"/>
    <w:lsdException w:name="Book Title" w:semiHidden="0" w:unhideWhenUsed="0"/>
    <w:lsdException w:name="TOC Heading" w:uiPriority="98" w:qFormat="1"/>
  </w:latentStyles>
  <w:style w:type="paragraph" w:default="1" w:styleId="Normal">
    <w:name w:val="Normal"/>
    <w:uiPriority w:val="99"/>
    <w:qFormat/>
    <w:rsid w:val="00462C20"/>
    <w:rPr>
      <w:rFonts w:ascii="Amnesty Trade Gothic Light Obl" w:hAnsi="Amnesty Trade Gothic Light Obl"/>
      <w:sz w:val="14"/>
    </w:rPr>
  </w:style>
  <w:style w:type="paragraph" w:styleId="Heading1">
    <w:name w:val="heading 1"/>
    <w:basedOn w:val="Normal"/>
    <w:next w:val="Normal"/>
    <w:link w:val="Heading1Char"/>
    <w:uiPriority w:val="99"/>
    <w:semiHidden/>
    <w:qFormat/>
    <w:locked/>
    <w:rsid w:val="002F688D"/>
    <w:pPr>
      <w:keepNext/>
      <w:numPr>
        <w:numId w:val="2"/>
      </w:numPr>
      <w:spacing w:line="560" w:lineRule="atLeast"/>
      <w:outlineLvl w:val="0"/>
    </w:pPr>
    <w:rPr>
      <w:rFonts w:ascii="Amnesty Trade Gothic Cn" w:eastAsia="SimSun" w:hAnsi="Amnesty Trade Gothic Cn" w:cs="Times New Roman"/>
      <w:b/>
      <w:caps/>
      <w:color w:val="auto"/>
      <w:kern w:val="1"/>
      <w:sz w:val="56"/>
      <w:szCs w:val="32"/>
      <w:lang w:val="en-GB" w:eastAsia="zh-CN"/>
    </w:rPr>
  </w:style>
  <w:style w:type="paragraph" w:styleId="Heading2">
    <w:name w:val="heading 2"/>
    <w:basedOn w:val="Normal"/>
    <w:next w:val="Normal"/>
    <w:link w:val="Heading2Char"/>
    <w:uiPriority w:val="99"/>
    <w:semiHidden/>
    <w:qFormat/>
    <w:locked/>
    <w:rsid w:val="002F688D"/>
    <w:pPr>
      <w:keepNext/>
      <w:numPr>
        <w:ilvl w:val="1"/>
        <w:numId w:val="2"/>
      </w:numPr>
      <w:outlineLvl w:val="1"/>
    </w:pPr>
    <w:rPr>
      <w:rFonts w:ascii="Amnesty Trade Gothic Cn" w:eastAsia="SimSun" w:hAnsi="Amnesty Trade Gothic Cn" w:cs="Times New Roman"/>
      <w:caps/>
      <w:color w:val="auto"/>
      <w:sz w:val="26"/>
      <w:szCs w:val="28"/>
      <w:lang w:val="en-GB" w:eastAsia="zh-CN"/>
    </w:rPr>
  </w:style>
  <w:style w:type="paragraph" w:styleId="Heading3">
    <w:name w:val="heading 3"/>
    <w:basedOn w:val="Normal"/>
    <w:next w:val="Normal"/>
    <w:link w:val="Heading3Char"/>
    <w:uiPriority w:val="99"/>
    <w:semiHidden/>
    <w:qFormat/>
    <w:locked/>
    <w:rsid w:val="002F688D"/>
    <w:pPr>
      <w:keepNext/>
      <w:numPr>
        <w:ilvl w:val="2"/>
        <w:numId w:val="2"/>
      </w:numPr>
      <w:outlineLvl w:val="2"/>
    </w:pPr>
    <w:rPr>
      <w:rFonts w:ascii="Amnesty Trade Gothic Cn" w:eastAsia="SimSun" w:hAnsi="Amnesty Trade Gothic Cn" w:cs="Times New Roman"/>
      <w:caps/>
      <w:color w:val="auto"/>
      <w:szCs w:val="26"/>
      <w:lang w:val="en-GB" w:eastAsia="zh-CN"/>
    </w:rPr>
  </w:style>
  <w:style w:type="paragraph" w:styleId="Heading4">
    <w:name w:val="heading 4"/>
    <w:basedOn w:val="Normal"/>
    <w:next w:val="Normal"/>
    <w:link w:val="Heading4Char"/>
    <w:uiPriority w:val="99"/>
    <w:semiHidden/>
    <w:qFormat/>
    <w:locked/>
    <w:rsid w:val="002F688D"/>
    <w:pPr>
      <w:numPr>
        <w:ilvl w:val="3"/>
        <w:numId w:val="2"/>
      </w:numPr>
      <w:outlineLvl w:val="3"/>
    </w:pPr>
    <w:rPr>
      <w:rFonts w:ascii="Verdana" w:eastAsia="SimSun" w:hAnsi="Verdana" w:cs="Times New Roman"/>
      <w:color w:val="auto"/>
      <w:szCs w:val="24"/>
      <w:lang w:val="en-GB" w:eastAsia="zh-CN"/>
    </w:rPr>
  </w:style>
  <w:style w:type="paragraph" w:styleId="Heading5">
    <w:name w:val="heading 5"/>
    <w:basedOn w:val="Heading4"/>
    <w:next w:val="Normal"/>
    <w:link w:val="Heading5Char"/>
    <w:uiPriority w:val="99"/>
    <w:semiHidden/>
    <w:qFormat/>
    <w:locked/>
    <w:rsid w:val="002F688D"/>
    <w:pPr>
      <w:numPr>
        <w:ilvl w:val="4"/>
      </w:numPr>
      <w:outlineLvl w:val="4"/>
    </w:pPr>
  </w:style>
  <w:style w:type="paragraph" w:styleId="Heading6">
    <w:name w:val="heading 6"/>
    <w:basedOn w:val="Heading5"/>
    <w:next w:val="Normal"/>
    <w:link w:val="Heading6Char"/>
    <w:uiPriority w:val="99"/>
    <w:semiHidden/>
    <w:qFormat/>
    <w:locked/>
    <w:rsid w:val="002F688D"/>
    <w:pPr>
      <w:numPr>
        <w:ilvl w:val="5"/>
      </w:numPr>
      <w:outlineLvl w:val="5"/>
    </w:pPr>
  </w:style>
  <w:style w:type="paragraph" w:styleId="Heading7">
    <w:name w:val="heading 7"/>
    <w:basedOn w:val="Heading6"/>
    <w:next w:val="Normal"/>
    <w:link w:val="Heading7Char"/>
    <w:uiPriority w:val="99"/>
    <w:semiHidden/>
    <w:qFormat/>
    <w:locked/>
    <w:rsid w:val="002F688D"/>
    <w:pPr>
      <w:numPr>
        <w:ilvl w:val="6"/>
      </w:numPr>
      <w:outlineLvl w:val="6"/>
    </w:pPr>
  </w:style>
  <w:style w:type="paragraph" w:styleId="Heading8">
    <w:name w:val="heading 8"/>
    <w:basedOn w:val="Heading7"/>
    <w:next w:val="Normal"/>
    <w:link w:val="Heading8Char"/>
    <w:uiPriority w:val="99"/>
    <w:semiHidden/>
    <w:qFormat/>
    <w:locked/>
    <w:rsid w:val="002F688D"/>
    <w:pPr>
      <w:numPr>
        <w:ilvl w:val="7"/>
      </w:numPr>
      <w:outlineLvl w:val="7"/>
    </w:pPr>
  </w:style>
  <w:style w:type="paragraph" w:styleId="Heading9">
    <w:name w:val="heading 9"/>
    <w:basedOn w:val="Heading8"/>
    <w:next w:val="Normal"/>
    <w:link w:val="Heading9Char"/>
    <w:uiPriority w:val="99"/>
    <w:semiHidden/>
    <w:qFormat/>
    <w:locked/>
    <w:rsid w:val="002F688D"/>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Bulletlist">
    <w:name w:val="Bullet list"/>
    <w:uiPriority w:val="99"/>
    <w:locked/>
    <w:rsid w:val="009B2D5B"/>
    <w:pPr>
      <w:numPr>
        <w:numId w:val="1"/>
      </w:numPr>
    </w:pPr>
  </w:style>
  <w:style w:type="paragraph" w:styleId="FootnoteText">
    <w:name w:val="footnote text"/>
    <w:aliases w:val="Char Char,Char,Footnote Text Char Char Char Char Char,Footnote Text Char Char Char Char,Footnote reference,FA Fu,Footnote Text Char Char Char Char Char Char Char Char,Footnote Text Char Char Char Char Char Char1,ft,Footnote Te,5_G,Ca,fn,AD"/>
    <w:basedOn w:val="Normal"/>
    <w:link w:val="FootnoteTextChar"/>
    <w:uiPriority w:val="99"/>
    <w:qFormat/>
    <w:locked/>
    <w:rsid w:val="00967F64"/>
    <w:rPr>
      <w:rFonts w:ascii="Amnesty Trade Gothic Light" w:hAnsi="Amnesty Trade Gothic Light"/>
      <w:szCs w:val="24"/>
    </w:rPr>
  </w:style>
  <w:style w:type="paragraph" w:styleId="Header">
    <w:name w:val="header"/>
    <w:basedOn w:val="Normal"/>
    <w:link w:val="HeaderChar"/>
    <w:uiPriority w:val="99"/>
    <w:semiHidden/>
    <w:locked/>
    <w:rsid w:val="00AE5E82"/>
    <w:pPr>
      <w:tabs>
        <w:tab w:val="center" w:pos="4320"/>
        <w:tab w:val="right" w:pos="8640"/>
      </w:tabs>
    </w:pPr>
  </w:style>
  <w:style w:type="character" w:customStyle="1" w:styleId="HeaderChar">
    <w:name w:val="Header Char"/>
    <w:basedOn w:val="DefaultParagraphFont"/>
    <w:link w:val="Header"/>
    <w:uiPriority w:val="99"/>
    <w:semiHidden/>
    <w:rsid w:val="006B29BE"/>
    <w:rPr>
      <w:rFonts w:ascii="Amnesty Trade Gothic Light Obl" w:hAnsi="Amnesty Trade Gothic Light Obl"/>
      <w:sz w:val="14"/>
    </w:rPr>
  </w:style>
  <w:style w:type="paragraph" w:styleId="Footer">
    <w:name w:val="footer"/>
    <w:basedOn w:val="Normal"/>
    <w:link w:val="FooterChar"/>
    <w:uiPriority w:val="99"/>
    <w:semiHidden/>
    <w:locked/>
    <w:rsid w:val="00826627"/>
    <w:pPr>
      <w:tabs>
        <w:tab w:val="right" w:pos="8278"/>
      </w:tabs>
      <w:spacing w:line="150" w:lineRule="exact"/>
    </w:pPr>
    <w:rPr>
      <w:caps/>
      <w:sz w:val="15"/>
      <w:szCs w:val="15"/>
    </w:rPr>
  </w:style>
  <w:style w:type="character" w:customStyle="1" w:styleId="FooterChar">
    <w:name w:val="Footer Char"/>
    <w:basedOn w:val="DefaultParagraphFont"/>
    <w:link w:val="Footer"/>
    <w:uiPriority w:val="99"/>
    <w:semiHidden/>
    <w:rsid w:val="00AE32A2"/>
    <w:rPr>
      <w:rFonts w:ascii="Amnesty Trade Gothic Light Obl" w:hAnsi="Amnesty Trade Gothic Light Obl"/>
      <w:caps/>
      <w:sz w:val="15"/>
      <w:szCs w:val="15"/>
    </w:rPr>
  </w:style>
  <w:style w:type="paragraph" w:customStyle="1" w:styleId="RTBodyText">
    <w:name w:val="RT Body Text"/>
    <w:basedOn w:val="Normal"/>
    <w:uiPriority w:val="9"/>
    <w:qFormat/>
    <w:rsid w:val="00E20D98"/>
    <w:pPr>
      <w:suppressAutoHyphens/>
      <w:spacing w:after="120"/>
    </w:pPr>
    <w:rPr>
      <w:rFonts w:asciiTheme="minorHAnsi" w:hAnsiTheme="minorHAnsi"/>
      <w:sz w:val="18"/>
      <w:szCs w:val="24"/>
      <w:lang w:val="en-GB"/>
    </w:rPr>
  </w:style>
  <w:style w:type="table" w:styleId="TableGrid">
    <w:name w:val="Table Grid"/>
    <w:basedOn w:val="TableNormal"/>
    <w:uiPriority w:val="59"/>
    <w:locked/>
    <w:rsid w:val="00A441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RTNumberedList">
    <w:name w:val="RT Numbered List"/>
    <w:uiPriority w:val="99"/>
    <w:rsid w:val="00DB3D14"/>
    <w:pPr>
      <w:numPr>
        <w:numId w:val="3"/>
      </w:numPr>
    </w:pPr>
  </w:style>
  <w:style w:type="paragraph" w:customStyle="1" w:styleId="BasicParagraph">
    <w:name w:val="[Basic Paragraph]"/>
    <w:basedOn w:val="Normal"/>
    <w:uiPriority w:val="99"/>
    <w:semiHidden/>
    <w:rsid w:val="00152840"/>
    <w:pPr>
      <w:widowControl w:val="0"/>
      <w:autoSpaceDE w:val="0"/>
      <w:autoSpaceDN w:val="0"/>
      <w:adjustRightInd w:val="0"/>
      <w:spacing w:line="288" w:lineRule="auto"/>
      <w:textAlignment w:val="center"/>
    </w:pPr>
    <w:rPr>
      <w:rFonts w:ascii="MinionPro-Regular" w:hAnsi="MinionPro-Regular" w:cs="MinionPro-Regular"/>
      <w:color w:val="000000"/>
      <w:sz w:val="24"/>
      <w:szCs w:val="24"/>
      <w:lang w:val="en-GB"/>
    </w:rPr>
  </w:style>
  <w:style w:type="character" w:customStyle="1" w:styleId="Heading1Char">
    <w:name w:val="Heading 1 Char"/>
    <w:basedOn w:val="DefaultParagraphFont"/>
    <w:link w:val="Heading1"/>
    <w:uiPriority w:val="89"/>
    <w:semiHidden/>
    <w:rsid w:val="006B29BE"/>
    <w:rPr>
      <w:rFonts w:ascii="Amnesty Trade Gothic Cn" w:eastAsia="SimSun" w:hAnsi="Amnesty Trade Gothic Cn" w:cs="Times New Roman"/>
      <w:b/>
      <w:caps/>
      <w:color w:val="auto"/>
      <w:kern w:val="1"/>
      <w:sz w:val="56"/>
      <w:szCs w:val="32"/>
      <w:lang w:val="en-GB" w:eastAsia="zh-CN"/>
    </w:rPr>
  </w:style>
  <w:style w:type="character" w:customStyle="1" w:styleId="Heading2Char">
    <w:name w:val="Heading 2 Char"/>
    <w:basedOn w:val="DefaultParagraphFont"/>
    <w:link w:val="Heading2"/>
    <w:uiPriority w:val="89"/>
    <w:semiHidden/>
    <w:rsid w:val="0090732F"/>
    <w:rPr>
      <w:rFonts w:ascii="Amnesty Trade Gothic Cn" w:eastAsia="SimSun" w:hAnsi="Amnesty Trade Gothic Cn" w:cs="Times New Roman"/>
      <w:caps/>
      <w:color w:val="auto"/>
      <w:sz w:val="26"/>
      <w:szCs w:val="28"/>
      <w:lang w:val="en-GB" w:eastAsia="zh-CN"/>
    </w:rPr>
  </w:style>
  <w:style w:type="character" w:customStyle="1" w:styleId="Heading3Char">
    <w:name w:val="Heading 3 Char"/>
    <w:basedOn w:val="DefaultParagraphFont"/>
    <w:link w:val="Heading3"/>
    <w:uiPriority w:val="89"/>
    <w:semiHidden/>
    <w:rsid w:val="006B29BE"/>
    <w:rPr>
      <w:rFonts w:ascii="Amnesty Trade Gothic Cn" w:eastAsia="SimSun" w:hAnsi="Amnesty Trade Gothic Cn" w:cs="Times New Roman"/>
      <w:caps/>
      <w:color w:val="auto"/>
      <w:sz w:val="14"/>
      <w:szCs w:val="26"/>
      <w:lang w:val="en-GB" w:eastAsia="zh-CN"/>
    </w:rPr>
  </w:style>
  <w:style w:type="character" w:customStyle="1" w:styleId="Heading4Char">
    <w:name w:val="Heading 4 Char"/>
    <w:basedOn w:val="DefaultParagraphFont"/>
    <w:link w:val="Heading4"/>
    <w:uiPriority w:val="89"/>
    <w:semiHidden/>
    <w:rsid w:val="0090732F"/>
    <w:rPr>
      <w:rFonts w:ascii="Verdana" w:eastAsia="SimSun" w:hAnsi="Verdana" w:cs="Times New Roman"/>
      <w:color w:val="auto"/>
      <w:sz w:val="14"/>
      <w:szCs w:val="24"/>
      <w:lang w:val="en-GB" w:eastAsia="zh-CN"/>
    </w:rPr>
  </w:style>
  <w:style w:type="character" w:customStyle="1" w:styleId="Heading5Char">
    <w:name w:val="Heading 5 Char"/>
    <w:basedOn w:val="DefaultParagraphFont"/>
    <w:link w:val="Heading5"/>
    <w:uiPriority w:val="89"/>
    <w:semiHidden/>
    <w:rsid w:val="006B29BE"/>
    <w:rPr>
      <w:rFonts w:ascii="Verdana" w:eastAsia="SimSun" w:hAnsi="Verdana" w:cs="Times New Roman"/>
      <w:color w:val="auto"/>
      <w:sz w:val="14"/>
      <w:szCs w:val="24"/>
      <w:lang w:val="en-GB" w:eastAsia="zh-CN"/>
    </w:rPr>
  </w:style>
  <w:style w:type="character" w:customStyle="1" w:styleId="Heading6Char">
    <w:name w:val="Heading 6 Char"/>
    <w:basedOn w:val="DefaultParagraphFont"/>
    <w:link w:val="Heading6"/>
    <w:uiPriority w:val="89"/>
    <w:semiHidden/>
    <w:rsid w:val="006B29BE"/>
    <w:rPr>
      <w:rFonts w:ascii="Verdana" w:eastAsia="SimSun" w:hAnsi="Verdana" w:cs="Times New Roman"/>
      <w:color w:val="auto"/>
      <w:sz w:val="14"/>
      <w:szCs w:val="24"/>
      <w:lang w:val="en-GB" w:eastAsia="zh-CN"/>
    </w:rPr>
  </w:style>
  <w:style w:type="character" w:customStyle="1" w:styleId="Heading7Char">
    <w:name w:val="Heading 7 Char"/>
    <w:basedOn w:val="DefaultParagraphFont"/>
    <w:link w:val="Heading7"/>
    <w:uiPriority w:val="89"/>
    <w:semiHidden/>
    <w:rsid w:val="006B29BE"/>
    <w:rPr>
      <w:rFonts w:ascii="Verdana" w:eastAsia="SimSun" w:hAnsi="Verdana" w:cs="Times New Roman"/>
      <w:color w:val="auto"/>
      <w:sz w:val="14"/>
      <w:szCs w:val="24"/>
      <w:lang w:val="en-GB" w:eastAsia="zh-CN"/>
    </w:rPr>
  </w:style>
  <w:style w:type="character" w:customStyle="1" w:styleId="Heading8Char">
    <w:name w:val="Heading 8 Char"/>
    <w:basedOn w:val="DefaultParagraphFont"/>
    <w:link w:val="Heading8"/>
    <w:uiPriority w:val="89"/>
    <w:semiHidden/>
    <w:rsid w:val="006B29BE"/>
    <w:rPr>
      <w:rFonts w:ascii="Verdana" w:eastAsia="SimSun" w:hAnsi="Verdana" w:cs="Times New Roman"/>
      <w:color w:val="auto"/>
      <w:sz w:val="14"/>
      <w:szCs w:val="24"/>
      <w:lang w:val="en-GB" w:eastAsia="zh-CN"/>
    </w:rPr>
  </w:style>
  <w:style w:type="character" w:customStyle="1" w:styleId="Heading9Char">
    <w:name w:val="Heading 9 Char"/>
    <w:basedOn w:val="DefaultParagraphFont"/>
    <w:link w:val="Heading9"/>
    <w:uiPriority w:val="89"/>
    <w:semiHidden/>
    <w:rsid w:val="006B29BE"/>
    <w:rPr>
      <w:rFonts w:ascii="Verdana" w:eastAsia="SimSun" w:hAnsi="Verdana" w:cs="Times New Roman"/>
      <w:color w:val="auto"/>
      <w:sz w:val="14"/>
      <w:szCs w:val="24"/>
      <w:lang w:val="en-GB" w:eastAsia="zh-CN"/>
    </w:rPr>
  </w:style>
  <w:style w:type="paragraph" w:customStyle="1" w:styleId="RTFooterText">
    <w:name w:val="RT Footer Text"/>
    <w:basedOn w:val="Normal"/>
    <w:uiPriority w:val="30"/>
    <w:qFormat/>
    <w:rsid w:val="004F5223"/>
    <w:pPr>
      <w:tabs>
        <w:tab w:val="right" w:pos="8278"/>
      </w:tabs>
      <w:spacing w:after="120" w:line="240" w:lineRule="exact"/>
    </w:pPr>
    <w:rPr>
      <w:rFonts w:ascii="Amnesty Trade Gothic Cn" w:hAnsi="Amnesty Trade Gothic Cn"/>
      <w:caps/>
      <w:sz w:val="18"/>
      <w:szCs w:val="15"/>
    </w:rPr>
  </w:style>
  <w:style w:type="character" w:styleId="FollowedHyperlink">
    <w:name w:val="FollowedHyperlink"/>
    <w:basedOn w:val="DefaultParagraphFont"/>
    <w:uiPriority w:val="99"/>
    <w:semiHidden/>
    <w:locked/>
    <w:rsid w:val="00467DA9"/>
    <w:rPr>
      <w:color w:val="000000" w:themeColor="text1"/>
      <w:u w:val="none"/>
    </w:rPr>
  </w:style>
  <w:style w:type="paragraph" w:customStyle="1" w:styleId="BodyText1">
    <w:name w:val="Body Text1"/>
    <w:basedOn w:val="Normal"/>
    <w:uiPriority w:val="99"/>
    <w:semiHidden/>
    <w:rsid w:val="00736F4C"/>
    <w:pPr>
      <w:widowControl w:val="0"/>
      <w:suppressAutoHyphens/>
      <w:autoSpaceDE w:val="0"/>
      <w:autoSpaceDN w:val="0"/>
      <w:adjustRightInd w:val="0"/>
      <w:spacing w:before="120" w:line="240" w:lineRule="atLeast"/>
      <w:textAlignment w:val="center"/>
    </w:pPr>
    <w:rPr>
      <w:rFonts w:ascii="AmnestyTradeGothic-Light" w:hAnsi="AmnestyTradeGothic-Light" w:cs="AmnestyTradeGothic-Light"/>
      <w:color w:val="000000"/>
      <w:sz w:val="18"/>
      <w:szCs w:val="18"/>
      <w:lang w:val="en-GB"/>
    </w:rPr>
  </w:style>
  <w:style w:type="character" w:customStyle="1" w:styleId="RTHighlightedtext">
    <w:name w:val="RT Highlighted text"/>
    <w:basedOn w:val="DefaultParagraphFont"/>
    <w:uiPriority w:val="7"/>
    <w:qFormat/>
    <w:rsid w:val="00DC4510"/>
    <w:rPr>
      <w:shd w:val="clear" w:color="auto" w:fill="FFFF00" w:themeFill="accent1"/>
    </w:rPr>
  </w:style>
  <w:style w:type="paragraph" w:customStyle="1" w:styleId="RTMissionStatement">
    <w:name w:val="RT Mission Statement"/>
    <w:basedOn w:val="Normal"/>
    <w:uiPriority w:val="18"/>
    <w:qFormat/>
    <w:rsid w:val="0090732F"/>
    <w:pPr>
      <w:suppressAutoHyphens/>
      <w:spacing w:after="280" w:line="264" w:lineRule="auto"/>
    </w:pPr>
    <w:rPr>
      <w:rFonts w:ascii="Amnesty Trade Gothic Cn" w:hAnsi="Amnesty Trade Gothic Cn"/>
      <w:b/>
      <w:bCs/>
      <w:noProof/>
      <w:sz w:val="44"/>
      <w:szCs w:val="44"/>
      <w:lang w:val="en-GB" w:eastAsia="en-GB"/>
    </w:rPr>
  </w:style>
  <w:style w:type="character" w:styleId="PageNumber">
    <w:name w:val="page number"/>
    <w:basedOn w:val="DefaultParagraphFont"/>
    <w:uiPriority w:val="99"/>
    <w:semiHidden/>
    <w:locked/>
    <w:rsid w:val="007A0F8F"/>
    <w:rPr>
      <w:rFonts w:asciiTheme="majorHAnsi" w:hAnsiTheme="majorHAnsi"/>
      <w:b/>
      <w:sz w:val="18"/>
    </w:rPr>
  </w:style>
  <w:style w:type="paragraph" w:styleId="BalloonText">
    <w:name w:val="Balloon Text"/>
    <w:basedOn w:val="Normal"/>
    <w:link w:val="BalloonTextChar"/>
    <w:uiPriority w:val="99"/>
    <w:semiHidden/>
    <w:locked/>
    <w:rsid w:val="00972618"/>
    <w:rPr>
      <w:rFonts w:asciiTheme="majorHAnsi" w:hAnsiTheme="majorHAnsi" w:cs="Segoe UI"/>
      <w:sz w:val="18"/>
      <w:szCs w:val="18"/>
    </w:rPr>
  </w:style>
  <w:style w:type="character" w:customStyle="1" w:styleId="BalloonTextChar">
    <w:name w:val="Balloon Text Char"/>
    <w:basedOn w:val="DefaultParagraphFont"/>
    <w:link w:val="BalloonText"/>
    <w:uiPriority w:val="99"/>
    <w:semiHidden/>
    <w:rsid w:val="006B29BE"/>
    <w:rPr>
      <w:rFonts w:asciiTheme="majorHAnsi" w:hAnsiTheme="majorHAnsi" w:cs="Segoe UI"/>
      <w:sz w:val="18"/>
      <w:szCs w:val="18"/>
    </w:rPr>
  </w:style>
  <w:style w:type="paragraph" w:customStyle="1" w:styleId="RTTitlenonumbers">
    <w:name w:val="RT Title (no numbers)"/>
    <w:basedOn w:val="Normal"/>
    <w:next w:val="RTBodyText"/>
    <w:uiPriority w:val="1"/>
    <w:qFormat/>
    <w:rsid w:val="00E54636"/>
    <w:pPr>
      <w:pageBreakBefore/>
      <w:suppressAutoHyphens/>
      <w:spacing w:before="100" w:after="2400" w:line="900" w:lineRule="exact"/>
      <w:contextualSpacing/>
      <w:outlineLvl w:val="0"/>
    </w:pPr>
    <w:rPr>
      <w:rFonts w:ascii="Amnesty Trade Gothic Cn" w:hAnsi="Amnesty Trade Gothic Cn"/>
      <w:b/>
      <w:caps/>
      <w:noProof/>
      <w:sz w:val="90"/>
      <w:lang w:val="en-GB" w:eastAsia="en-GB"/>
    </w:rPr>
  </w:style>
  <w:style w:type="character" w:customStyle="1" w:styleId="RTRemoveHighlight">
    <w:name w:val="RT Remove Highlight"/>
    <w:basedOn w:val="RTHighlightedtext"/>
    <w:uiPriority w:val="39"/>
    <w:qFormat/>
    <w:rsid w:val="00020B73"/>
    <w:rPr>
      <w:bdr w:val="none" w:sz="0" w:space="0" w:color="auto"/>
      <w:shd w:val="clear" w:color="auto" w:fill="auto"/>
    </w:rPr>
  </w:style>
  <w:style w:type="paragraph" w:customStyle="1" w:styleId="RTTitlenumbered">
    <w:name w:val="RT Title (numbered)"/>
    <w:basedOn w:val="RTTitlenonumbers"/>
    <w:next w:val="RTBodyText"/>
    <w:qFormat/>
    <w:rsid w:val="00ED7EA3"/>
    <w:pPr>
      <w:keepNext/>
      <w:numPr>
        <w:numId w:val="3"/>
      </w:numPr>
      <w:tabs>
        <w:tab w:val="left" w:pos="851"/>
      </w:tabs>
      <w:ind w:left="851" w:hanging="851"/>
    </w:pPr>
  </w:style>
  <w:style w:type="paragraph" w:customStyle="1" w:styleId="RTNumberedHeading">
    <w:name w:val="RT Numbered Heading"/>
    <w:basedOn w:val="RTTitlenumbered"/>
    <w:next w:val="RTBodyText"/>
    <w:uiPriority w:val="2"/>
    <w:qFormat/>
    <w:rsid w:val="00D04949"/>
    <w:pPr>
      <w:pageBreakBefore w:val="0"/>
      <w:numPr>
        <w:ilvl w:val="1"/>
      </w:numPr>
      <w:tabs>
        <w:tab w:val="left" w:pos="567"/>
      </w:tabs>
      <w:spacing w:before="480" w:after="100" w:line="420" w:lineRule="exact"/>
      <w:ind w:left="0" w:firstLine="0"/>
      <w:outlineLvl w:val="1"/>
    </w:pPr>
    <w:rPr>
      <w:sz w:val="42"/>
    </w:rPr>
  </w:style>
  <w:style w:type="paragraph" w:customStyle="1" w:styleId="RTQuoteText">
    <w:name w:val="RT Quote Text"/>
    <w:basedOn w:val="RTBodyText"/>
    <w:uiPriority w:val="14"/>
    <w:qFormat/>
    <w:rsid w:val="00DD7A31"/>
    <w:pPr>
      <w:spacing w:after="0"/>
    </w:pPr>
    <w:rPr>
      <w:rFonts w:asciiTheme="majorHAnsi" w:hAnsiTheme="majorHAnsi"/>
      <w:b/>
      <w:sz w:val="36"/>
    </w:rPr>
  </w:style>
  <w:style w:type="paragraph" w:customStyle="1" w:styleId="RTSourceText">
    <w:name w:val="RT Source Text"/>
    <w:basedOn w:val="RTBodyText"/>
    <w:uiPriority w:val="14"/>
    <w:qFormat/>
    <w:rsid w:val="005D0702"/>
    <w:rPr>
      <w:rFonts w:ascii="Amnesty Trade Gothic Cn" w:hAnsi="Amnesty Trade Gothic Cn"/>
    </w:rPr>
  </w:style>
  <w:style w:type="paragraph" w:customStyle="1" w:styleId="RTBulletText">
    <w:name w:val="RT Bullet Text"/>
    <w:basedOn w:val="RTBodyText"/>
    <w:next w:val="RTBodyText"/>
    <w:uiPriority w:val="10"/>
    <w:qFormat/>
    <w:rsid w:val="00A1219D"/>
    <w:pPr>
      <w:numPr>
        <w:ilvl w:val="1"/>
        <w:numId w:val="4"/>
      </w:numPr>
    </w:pPr>
  </w:style>
  <w:style w:type="table" w:customStyle="1" w:styleId="RTTintedPullout">
    <w:name w:val="RT Tinted Pull out"/>
    <w:basedOn w:val="TableNormal"/>
    <w:uiPriority w:val="99"/>
    <w:rsid w:val="00E145BC"/>
    <w:tblPr>
      <w:tblCellMar>
        <w:top w:w="113" w:type="dxa"/>
        <w:left w:w="170" w:type="dxa"/>
        <w:right w:w="0" w:type="dxa"/>
      </w:tblCellMar>
    </w:tblPr>
    <w:tcPr>
      <w:shd w:val="clear" w:color="auto" w:fill="CCCCCC" w:themeFill="accent5"/>
    </w:tcPr>
  </w:style>
  <w:style w:type="paragraph" w:customStyle="1" w:styleId="RTCaptionText">
    <w:name w:val="RT Caption Text"/>
    <w:basedOn w:val="Normal"/>
    <w:uiPriority w:val="19"/>
    <w:qFormat/>
    <w:rsid w:val="00396A31"/>
    <w:rPr>
      <w:rFonts w:ascii="Amnesty Trade Gothic Cn" w:hAnsi="Amnesty Trade Gothic Cn"/>
      <w:i/>
    </w:rPr>
  </w:style>
  <w:style w:type="paragraph" w:customStyle="1" w:styleId="RTSmallQuoteText">
    <w:name w:val="RT Small Quote Text"/>
    <w:basedOn w:val="RTBodyText"/>
    <w:next w:val="RTBodyText"/>
    <w:uiPriority w:val="14"/>
    <w:qFormat/>
    <w:rsid w:val="00DD7A31"/>
    <w:pPr>
      <w:spacing w:before="100" w:after="140"/>
    </w:pPr>
    <w:rPr>
      <w:rFonts w:ascii="Amnesty Trade Gothic Cn" w:hAnsi="Amnesty Trade Gothic Cn"/>
      <w:b/>
      <w:sz w:val="20"/>
    </w:rPr>
  </w:style>
  <w:style w:type="paragraph" w:customStyle="1" w:styleId="RTHeadingnonumbers">
    <w:name w:val="RT Heading (no numbers)"/>
    <w:basedOn w:val="RTNumberedHeading"/>
    <w:next w:val="RTBodyText"/>
    <w:uiPriority w:val="3"/>
    <w:qFormat/>
    <w:rsid w:val="002E16BE"/>
    <w:pPr>
      <w:numPr>
        <w:ilvl w:val="0"/>
        <w:numId w:val="0"/>
      </w:numPr>
      <w:tabs>
        <w:tab w:val="clear" w:pos="567"/>
      </w:tabs>
    </w:pPr>
  </w:style>
  <w:style w:type="paragraph" w:customStyle="1" w:styleId="RTHighlightedHeading">
    <w:name w:val="RT Highlighted Heading"/>
    <w:basedOn w:val="RTBodyText"/>
    <w:uiPriority w:val="7"/>
    <w:qFormat/>
    <w:rsid w:val="00A857B6"/>
    <w:pPr>
      <w:spacing w:after="0" w:line="245" w:lineRule="auto"/>
    </w:pPr>
    <w:rPr>
      <w:rFonts w:ascii="Amnesty Trade Gothic Cn" w:hAnsi="Amnesty Trade Gothic Cn"/>
      <w:b/>
      <w:bCs/>
      <w:caps/>
      <w:sz w:val="56"/>
      <w:szCs w:val="56"/>
    </w:rPr>
  </w:style>
  <w:style w:type="paragraph" w:customStyle="1" w:styleId="RTSubheadinglightCAPS">
    <w:name w:val="RT Subheading light CAPS"/>
    <w:basedOn w:val="RTHighlightedHeading"/>
    <w:uiPriority w:val="5"/>
    <w:qFormat/>
    <w:rsid w:val="00BB723B"/>
    <w:pPr>
      <w:spacing w:before="40"/>
    </w:pPr>
    <w:rPr>
      <w:b w:val="0"/>
      <w:sz w:val="44"/>
      <w:szCs w:val="44"/>
    </w:rPr>
  </w:style>
  <w:style w:type="paragraph" w:customStyle="1" w:styleId="RTStatement">
    <w:name w:val="RT Statement"/>
    <w:basedOn w:val="Normal"/>
    <w:uiPriority w:val="14"/>
    <w:qFormat/>
    <w:rsid w:val="0090732F"/>
    <w:pPr>
      <w:spacing w:line="960" w:lineRule="exact"/>
      <w:contextualSpacing/>
    </w:pPr>
    <w:rPr>
      <w:rFonts w:ascii="Amnesty Trade Gothic Cn" w:hAnsi="Amnesty Trade Gothic Cn"/>
      <w:b/>
      <w:caps/>
      <w:noProof/>
      <w:sz w:val="100"/>
      <w:lang w:val="en-GB" w:eastAsia="en-GB"/>
    </w:rPr>
  </w:style>
  <w:style w:type="paragraph" w:customStyle="1" w:styleId="RTAmnestywebaddress">
    <w:name w:val="RT Amnesty web address"/>
    <w:basedOn w:val="Footer"/>
    <w:link w:val="RTAmnestywebaddressChar"/>
    <w:uiPriority w:val="29"/>
    <w:qFormat/>
    <w:rsid w:val="004F5223"/>
    <w:pPr>
      <w:spacing w:before="80" w:line="240" w:lineRule="auto"/>
    </w:pPr>
    <w:rPr>
      <w:rFonts w:asciiTheme="majorHAnsi" w:hAnsiTheme="majorHAnsi"/>
      <w:b/>
      <w:caps w:val="0"/>
      <w:sz w:val="32"/>
      <w:szCs w:val="32"/>
    </w:rPr>
  </w:style>
  <w:style w:type="character" w:customStyle="1" w:styleId="RTAmnestywebaddressChar">
    <w:name w:val="RT Amnesty web address Char"/>
    <w:basedOn w:val="FooterChar"/>
    <w:link w:val="RTAmnestywebaddress"/>
    <w:uiPriority w:val="29"/>
    <w:rsid w:val="004F5223"/>
    <w:rPr>
      <w:rFonts w:asciiTheme="majorHAnsi" w:hAnsiTheme="majorHAnsi"/>
      <w:b/>
      <w:caps w:val="0"/>
      <w:sz w:val="32"/>
      <w:szCs w:val="32"/>
    </w:rPr>
  </w:style>
  <w:style w:type="character" w:customStyle="1" w:styleId="FootnoteTextChar">
    <w:name w:val="Footnote Text Char"/>
    <w:aliases w:val="Char Char Char,Char Char1,Footnote Text Char Char Char Char Char Char,Footnote Text Char Char Char Char Char1,Footnote reference Char,FA Fu Char,Footnote Text Char Char Char Char Char Char Char Char Char,ft Char,Footnote Te Char"/>
    <w:basedOn w:val="DefaultParagraphFont"/>
    <w:link w:val="FootnoteText"/>
    <w:uiPriority w:val="99"/>
    <w:qFormat/>
    <w:rsid w:val="006B29BE"/>
    <w:rPr>
      <w:sz w:val="14"/>
      <w:szCs w:val="24"/>
    </w:rPr>
  </w:style>
  <w:style w:type="character" w:styleId="FootnoteReference">
    <w:name w:val="footnote reference"/>
    <w:aliases w:val="4_G,Footnotes refss,Footnote text,ftref,16 Point,Superscript 6 Point,Footnote + Arial,10 pt,Black,Footnote,(NECG) Footnote Reference,Footnote Text1,Ref,de nota al pie,Footnote number, BVI fnr,BVI fnr, BVI fnr Car Car,BVI fnr Car,Re,f"/>
    <w:basedOn w:val="DefaultParagraphFont"/>
    <w:link w:val="BVIfnrCarCharChar1CharCharCharChar"/>
    <w:unhideWhenUsed/>
    <w:qFormat/>
    <w:locked/>
    <w:rsid w:val="00B418F0"/>
    <w:rPr>
      <w:vertAlign w:val="superscript"/>
    </w:rPr>
  </w:style>
  <w:style w:type="numbering" w:styleId="111111">
    <w:name w:val="Outline List 2"/>
    <w:basedOn w:val="NoList"/>
    <w:uiPriority w:val="99"/>
    <w:semiHidden/>
    <w:unhideWhenUsed/>
    <w:locked/>
    <w:rsid w:val="00864407"/>
    <w:pPr>
      <w:numPr>
        <w:numId w:val="5"/>
      </w:numPr>
    </w:pPr>
  </w:style>
  <w:style w:type="paragraph" w:styleId="TOC3">
    <w:name w:val="toc 3"/>
    <w:basedOn w:val="TOC4"/>
    <w:next w:val="Normal"/>
    <w:uiPriority w:val="39"/>
    <w:locked/>
    <w:rsid w:val="00C20EE2"/>
    <w:pPr>
      <w:ind w:left="369" w:hanging="369"/>
      <w:contextualSpacing w:val="0"/>
    </w:pPr>
    <w:rPr>
      <w:caps/>
    </w:rPr>
  </w:style>
  <w:style w:type="paragraph" w:styleId="TOC1">
    <w:name w:val="toc 1"/>
    <w:basedOn w:val="Normal"/>
    <w:next w:val="Normal"/>
    <w:uiPriority w:val="39"/>
    <w:locked/>
    <w:rsid w:val="002F10AC"/>
    <w:pPr>
      <w:tabs>
        <w:tab w:val="right" w:pos="8222"/>
      </w:tabs>
      <w:spacing w:before="240" w:after="113"/>
    </w:pPr>
    <w:rPr>
      <w:rFonts w:asciiTheme="majorHAnsi" w:hAnsiTheme="majorHAnsi"/>
      <w:b/>
      <w:bCs/>
      <w:caps/>
      <w:sz w:val="22"/>
      <w:szCs w:val="22"/>
    </w:rPr>
  </w:style>
  <w:style w:type="paragraph" w:styleId="TOC2">
    <w:name w:val="toc 2"/>
    <w:basedOn w:val="Normal"/>
    <w:next w:val="Normal"/>
    <w:uiPriority w:val="39"/>
    <w:locked/>
    <w:rsid w:val="00A164C2"/>
    <w:pPr>
      <w:tabs>
        <w:tab w:val="right" w:pos="8222"/>
      </w:tabs>
      <w:spacing w:after="113"/>
      <w:ind w:left="397" w:hanging="397"/>
    </w:pPr>
    <w:rPr>
      <w:rFonts w:asciiTheme="minorHAnsi" w:hAnsiTheme="minorHAnsi"/>
      <w:caps/>
      <w:noProof/>
      <w:sz w:val="20"/>
    </w:rPr>
  </w:style>
  <w:style w:type="paragraph" w:styleId="TOC4">
    <w:name w:val="toc 4"/>
    <w:basedOn w:val="Normal"/>
    <w:next w:val="Normal"/>
    <w:autoRedefine/>
    <w:uiPriority w:val="98"/>
    <w:semiHidden/>
    <w:locked/>
    <w:rsid w:val="00847900"/>
    <w:pPr>
      <w:tabs>
        <w:tab w:val="right" w:pos="8222"/>
      </w:tabs>
      <w:spacing w:after="113"/>
      <w:contextualSpacing/>
    </w:pPr>
    <w:rPr>
      <w:rFonts w:asciiTheme="majorHAnsi" w:hAnsiTheme="majorHAnsi"/>
      <w:noProof/>
      <w:sz w:val="18"/>
      <w:szCs w:val="18"/>
    </w:rPr>
  </w:style>
  <w:style w:type="paragraph" w:styleId="TOC5">
    <w:name w:val="toc 5"/>
    <w:basedOn w:val="Normal"/>
    <w:next w:val="Normal"/>
    <w:autoRedefine/>
    <w:uiPriority w:val="98"/>
    <w:semiHidden/>
    <w:locked/>
    <w:rsid w:val="00337B08"/>
    <w:pPr>
      <w:ind w:left="560"/>
    </w:pPr>
  </w:style>
  <w:style w:type="paragraph" w:styleId="TOC6">
    <w:name w:val="toc 6"/>
    <w:basedOn w:val="Normal"/>
    <w:next w:val="Normal"/>
    <w:autoRedefine/>
    <w:uiPriority w:val="98"/>
    <w:semiHidden/>
    <w:locked/>
    <w:rsid w:val="00337B08"/>
    <w:pPr>
      <w:ind w:left="700"/>
    </w:pPr>
  </w:style>
  <w:style w:type="paragraph" w:styleId="TOC7">
    <w:name w:val="toc 7"/>
    <w:basedOn w:val="Normal"/>
    <w:next w:val="Normal"/>
    <w:autoRedefine/>
    <w:uiPriority w:val="98"/>
    <w:semiHidden/>
    <w:locked/>
    <w:rsid w:val="00337B08"/>
    <w:pPr>
      <w:ind w:left="840"/>
    </w:pPr>
  </w:style>
  <w:style w:type="paragraph" w:styleId="TOC8">
    <w:name w:val="toc 8"/>
    <w:basedOn w:val="Normal"/>
    <w:next w:val="Normal"/>
    <w:autoRedefine/>
    <w:uiPriority w:val="98"/>
    <w:semiHidden/>
    <w:locked/>
    <w:rsid w:val="00337B08"/>
    <w:pPr>
      <w:ind w:left="980"/>
    </w:pPr>
  </w:style>
  <w:style w:type="table" w:customStyle="1" w:styleId="RTTableStyle1">
    <w:name w:val="RT Table Style 1"/>
    <w:basedOn w:val="TableNormal"/>
    <w:uiPriority w:val="99"/>
    <w:rsid w:val="00DB3D14"/>
    <w:rPr>
      <w:sz w:val="18"/>
    </w:rPr>
    <w:tblPr>
      <w:tblStyleRowBandSize w:val="1"/>
      <w:tblInd w:w="108" w:type="dxa"/>
      <w:tblCellMar>
        <w:top w:w="57" w:type="dxa"/>
        <w:bottom w:w="28" w:type="dxa"/>
      </w:tblCellMar>
    </w:tblPr>
    <w:tblStylePr w:type="firstRow">
      <w:pPr>
        <w:wordWrap/>
        <w:spacing w:beforeLines="0" w:before="0" w:beforeAutospacing="0" w:afterLines="0" w:after="0" w:afterAutospacing="0" w:line="240" w:lineRule="auto"/>
        <w:jc w:val="left"/>
      </w:pPr>
      <w:rPr>
        <w:rFonts w:asciiTheme="majorHAnsi" w:hAnsiTheme="majorHAnsi"/>
        <w:b/>
        <w:caps/>
        <w:smallCaps w:val="0"/>
        <w:sz w:val="22"/>
      </w:rPr>
      <w:tblPr/>
      <w:trPr>
        <w:tblHeader/>
      </w:trPr>
      <w:tcPr>
        <w:shd w:val="clear" w:color="auto" w:fill="CCCCCC" w:themeFill="accent5"/>
        <w:vAlign w:val="center"/>
      </w:tcPr>
    </w:tblStylePr>
    <w:tblStylePr w:type="firstCol">
      <w:rPr>
        <w:rFonts w:asciiTheme="majorHAnsi" w:hAnsiTheme="majorHAnsi"/>
        <w:b/>
        <w:caps/>
        <w:smallCaps w:val="0"/>
        <w:sz w:val="18"/>
      </w:rPr>
    </w:tblStylePr>
    <w:tblStylePr w:type="band2Horz">
      <w:tblPr/>
      <w:tcPr>
        <w:shd w:val="clear" w:color="auto" w:fill="CCCCCC" w:themeFill="accent5"/>
      </w:tcPr>
    </w:tblStylePr>
  </w:style>
  <w:style w:type="table" w:customStyle="1" w:styleId="RTMultiColumnStyle">
    <w:name w:val="RT Multi Column Style"/>
    <w:basedOn w:val="TableNormal"/>
    <w:uiPriority w:val="99"/>
    <w:rsid w:val="00E51D10"/>
    <w:pPr>
      <w:spacing w:after="120" w:line="240" w:lineRule="exact"/>
    </w:pPr>
    <w:rPr>
      <w:sz w:val="18"/>
    </w:rPr>
    <w:tblPr>
      <w:tblCellMar>
        <w:top w:w="113" w:type="dxa"/>
        <w:left w:w="0" w:type="dxa"/>
        <w:right w:w="0" w:type="dxa"/>
      </w:tblCellMar>
    </w:tblPr>
  </w:style>
  <w:style w:type="paragraph" w:customStyle="1" w:styleId="Backcoverblurb">
    <w:name w:val="Back cover blurb"/>
    <w:basedOn w:val="RTBodyText"/>
    <w:uiPriority w:val="99"/>
    <w:semiHidden/>
    <w:qFormat/>
    <w:rsid w:val="00FF33F9"/>
    <w:pPr>
      <w:spacing w:line="310" w:lineRule="exact"/>
    </w:pPr>
  </w:style>
  <w:style w:type="paragraph" w:customStyle="1" w:styleId="Backcoversubtitle">
    <w:name w:val="Back cover sub title"/>
    <w:basedOn w:val="RTBodyText"/>
    <w:uiPriority w:val="99"/>
    <w:semiHidden/>
    <w:qFormat/>
    <w:rsid w:val="00FF33F9"/>
    <w:pPr>
      <w:spacing w:line="320" w:lineRule="exact"/>
    </w:pPr>
    <w:rPr>
      <w:rFonts w:ascii="Amnesty Trade Gothic Cn" w:hAnsi="Amnesty Trade Gothic Cn"/>
      <w:bCs/>
      <w:caps/>
      <w:sz w:val="32"/>
      <w:szCs w:val="56"/>
    </w:rPr>
  </w:style>
  <w:style w:type="paragraph" w:customStyle="1" w:styleId="Frontcovermaintitle">
    <w:name w:val="Front cover main title"/>
    <w:basedOn w:val="Normal"/>
    <w:uiPriority w:val="99"/>
    <w:semiHidden/>
    <w:qFormat/>
    <w:rsid w:val="0090732F"/>
    <w:pPr>
      <w:spacing w:before="9760" w:after="60" w:line="252" w:lineRule="auto"/>
      <w:contextualSpacing/>
    </w:pPr>
    <w:rPr>
      <w:rFonts w:ascii="Amnesty Trade Gothic Cn" w:hAnsi="Amnesty Trade Gothic Cn"/>
      <w:b/>
      <w:caps/>
      <w:noProof/>
      <w:sz w:val="96"/>
      <w:szCs w:val="96"/>
      <w:lang w:val="en-GB" w:eastAsia="en-GB"/>
    </w:rPr>
  </w:style>
  <w:style w:type="paragraph" w:styleId="BodyText">
    <w:name w:val="Body Text"/>
    <w:basedOn w:val="Normal"/>
    <w:link w:val="BodyTextChar"/>
    <w:uiPriority w:val="89"/>
    <w:semiHidden/>
    <w:locked/>
    <w:rsid w:val="00F92A5D"/>
    <w:pPr>
      <w:widowControl w:val="0"/>
      <w:suppressAutoHyphens/>
      <w:spacing w:after="120" w:line="240" w:lineRule="atLeast"/>
    </w:pPr>
    <w:rPr>
      <w:rFonts w:ascii="Amnesty Trade Gothic" w:eastAsia="Times New Roman" w:hAnsi="Amnesty Trade Gothic" w:cs="Times New Roman"/>
      <w:color w:val="000000"/>
      <w:sz w:val="18"/>
      <w:szCs w:val="24"/>
      <w:lang w:val="en-GB" w:eastAsia="ar-SA"/>
    </w:rPr>
  </w:style>
  <w:style w:type="character" w:customStyle="1" w:styleId="BodyTextChar">
    <w:name w:val="Body Text Char"/>
    <w:basedOn w:val="DefaultParagraphFont"/>
    <w:link w:val="BodyText"/>
    <w:uiPriority w:val="89"/>
    <w:semiHidden/>
    <w:rsid w:val="006B29BE"/>
    <w:rPr>
      <w:rFonts w:ascii="Amnesty Trade Gothic" w:eastAsia="Times New Roman" w:hAnsi="Amnesty Trade Gothic" w:cs="Times New Roman"/>
      <w:color w:val="000000"/>
      <w:sz w:val="18"/>
      <w:szCs w:val="24"/>
      <w:lang w:val="en-GB" w:eastAsia="ar-SA"/>
    </w:rPr>
  </w:style>
  <w:style w:type="paragraph" w:customStyle="1" w:styleId="RTsub-sub-subheading">
    <w:name w:val="RT sub-sub-sub heading"/>
    <w:basedOn w:val="RTBodyText"/>
    <w:semiHidden/>
    <w:qFormat/>
    <w:rsid w:val="00F73607"/>
    <w:rPr>
      <w:b/>
    </w:rPr>
  </w:style>
  <w:style w:type="paragraph" w:customStyle="1" w:styleId="RTSmallheadingCAPS">
    <w:name w:val="RT Small heading CAPS"/>
    <w:basedOn w:val="Normal"/>
    <w:uiPriority w:val="6"/>
    <w:qFormat/>
    <w:rsid w:val="00B67C03"/>
    <w:pPr>
      <w:keepNext/>
      <w:spacing w:line="320" w:lineRule="exact"/>
    </w:pPr>
    <w:rPr>
      <w:rFonts w:asciiTheme="majorHAnsi" w:eastAsiaTheme="minorHAnsi" w:hAnsiTheme="majorHAnsi" w:cs="Times New Roman"/>
      <w:b/>
      <w:caps/>
      <w:color w:val="000000"/>
      <w:sz w:val="22"/>
      <w:szCs w:val="32"/>
      <w:lang w:val="en-GB" w:eastAsia="en-GB"/>
    </w:rPr>
  </w:style>
  <w:style w:type="paragraph" w:customStyle="1" w:styleId="Footnotes">
    <w:name w:val="Footnotes"/>
    <w:basedOn w:val="RTBodyText"/>
    <w:uiPriority w:val="99"/>
    <w:semiHidden/>
    <w:qFormat/>
    <w:rsid w:val="002C2DB2"/>
    <w:rPr>
      <w:sz w:val="14"/>
    </w:rPr>
  </w:style>
  <w:style w:type="paragraph" w:customStyle="1" w:styleId="RTSubheadingnonumbers">
    <w:name w:val="RT Subheading (no numbers)"/>
    <w:basedOn w:val="RTNumberedHeading"/>
    <w:next w:val="RTBodyText"/>
    <w:uiPriority w:val="5"/>
    <w:qFormat/>
    <w:rsid w:val="002E16BE"/>
    <w:pPr>
      <w:numPr>
        <w:ilvl w:val="0"/>
        <w:numId w:val="0"/>
      </w:numPr>
      <w:tabs>
        <w:tab w:val="clear" w:pos="567"/>
      </w:tabs>
      <w:spacing w:before="360" w:after="113" w:line="320" w:lineRule="exact"/>
      <w:outlineLvl w:val="2"/>
    </w:pPr>
    <w:rPr>
      <w:sz w:val="32"/>
    </w:rPr>
  </w:style>
  <w:style w:type="paragraph" w:customStyle="1" w:styleId="RTNumberedSubheading">
    <w:name w:val="RT Numbered Subheading"/>
    <w:basedOn w:val="RTSubheadingnonumbers"/>
    <w:next w:val="RTBodyText"/>
    <w:uiPriority w:val="4"/>
    <w:qFormat/>
    <w:rsid w:val="002E16BE"/>
    <w:pPr>
      <w:keepLines/>
      <w:numPr>
        <w:ilvl w:val="2"/>
        <w:numId w:val="3"/>
      </w:numPr>
      <w:tabs>
        <w:tab w:val="left" w:pos="652"/>
      </w:tabs>
      <w:spacing w:line="252" w:lineRule="auto"/>
      <w:ind w:left="652" w:hanging="652"/>
      <w:contextualSpacing w:val="0"/>
    </w:pPr>
  </w:style>
  <w:style w:type="paragraph" w:customStyle="1" w:styleId="RTCasestudytitle">
    <w:name w:val="RT Case study title"/>
    <w:basedOn w:val="Normal"/>
    <w:uiPriority w:val="97"/>
    <w:qFormat/>
    <w:rsid w:val="00753EB0"/>
    <w:rPr>
      <w:rFonts w:ascii="Amnesty Trade Gothic Light" w:hAnsi="Amnesty Trade Gothic Light"/>
      <w:i/>
    </w:rPr>
  </w:style>
  <w:style w:type="paragraph" w:customStyle="1" w:styleId="RTFootnotetext">
    <w:name w:val="RT Footnote text"/>
    <w:basedOn w:val="FootnoteText"/>
    <w:link w:val="RTFootnotetextChar"/>
    <w:uiPriority w:val="97"/>
    <w:qFormat/>
    <w:rsid w:val="00554F19"/>
  </w:style>
  <w:style w:type="character" w:customStyle="1" w:styleId="RTFootnotetextChar">
    <w:name w:val="RT Footnote text Char"/>
    <w:basedOn w:val="FootnoteTextChar"/>
    <w:link w:val="RTFootnotetext"/>
    <w:uiPriority w:val="97"/>
    <w:rsid w:val="00B67C03"/>
    <w:rPr>
      <w:sz w:val="14"/>
      <w:szCs w:val="24"/>
    </w:rPr>
  </w:style>
  <w:style w:type="paragraph" w:customStyle="1" w:styleId="RTTitle-NonTOC">
    <w:name w:val="RT Title - Non TOC"/>
    <w:basedOn w:val="RTTitlenonumbers"/>
    <w:uiPriority w:val="99"/>
    <w:qFormat/>
    <w:rsid w:val="003C08D2"/>
    <w:pPr>
      <w:outlineLvl w:val="9"/>
    </w:pPr>
  </w:style>
  <w:style w:type="paragraph" w:customStyle="1" w:styleId="RTIndentedBulletText">
    <w:name w:val="RT Indented Bullet Text"/>
    <w:basedOn w:val="RTBulletText"/>
    <w:uiPriority w:val="11"/>
    <w:qFormat/>
    <w:rsid w:val="0038299B"/>
    <w:pPr>
      <w:numPr>
        <w:ilvl w:val="2"/>
        <w:numId w:val="11"/>
      </w:numPr>
      <w:tabs>
        <w:tab w:val="left" w:pos="1134"/>
      </w:tabs>
      <w:ind w:left="1134" w:hanging="283"/>
    </w:pPr>
  </w:style>
  <w:style w:type="paragraph" w:customStyle="1" w:styleId="RTFootertitle">
    <w:name w:val="RT Footer title"/>
    <w:basedOn w:val="Footer"/>
    <w:uiPriority w:val="99"/>
    <w:qFormat/>
    <w:rsid w:val="001D7DAE"/>
    <w:rPr>
      <w:rFonts w:ascii="Amnesty Trade Gothic Cn" w:hAnsi="Amnesty Trade Gothic Cn"/>
      <w:b/>
    </w:rPr>
  </w:style>
  <w:style w:type="paragraph" w:styleId="Revision">
    <w:name w:val="Revision"/>
    <w:hidden/>
    <w:uiPriority w:val="99"/>
    <w:semiHidden/>
    <w:rsid w:val="003D717F"/>
    <w:rPr>
      <w:rFonts w:ascii="Amnesty Trade Gothic Light Obl" w:hAnsi="Amnesty Trade Gothic Light Obl"/>
      <w:sz w:val="14"/>
    </w:rPr>
  </w:style>
  <w:style w:type="paragraph" w:styleId="ListParagraph">
    <w:name w:val="List Paragraph"/>
    <w:basedOn w:val="Normal"/>
    <w:uiPriority w:val="99"/>
    <w:semiHidden/>
    <w:qFormat/>
    <w:locked/>
    <w:rsid w:val="00CD3161"/>
    <w:pPr>
      <w:ind w:left="720"/>
      <w:contextualSpacing/>
    </w:pPr>
  </w:style>
  <w:style w:type="paragraph" w:customStyle="1" w:styleId="RTFrontcovermaintitle">
    <w:name w:val="RT Front cover main title"/>
    <w:next w:val="RTSubheadinglightCAPS"/>
    <w:qFormat/>
    <w:rsid w:val="00552CB7"/>
    <w:pPr>
      <w:spacing w:before="9680" w:after="60" w:line="1340" w:lineRule="exact"/>
    </w:pPr>
    <w:rPr>
      <w:rFonts w:ascii="Amnesty Trade Gothic Cn" w:hAnsi="Amnesty Trade Gothic Cn"/>
      <w:b/>
      <w:caps/>
      <w:noProof/>
      <w:sz w:val="96"/>
      <w:szCs w:val="96"/>
      <w:shd w:val="clear" w:color="auto" w:fill="FFFF00" w:themeFill="accent1"/>
      <w:lang w:val="en-GB" w:eastAsia="en-GB"/>
    </w:rPr>
  </w:style>
  <w:style w:type="paragraph" w:customStyle="1" w:styleId="RTAmnestyfooter">
    <w:name w:val="RT Amnesty footer"/>
    <w:basedOn w:val="Footer"/>
    <w:uiPriority w:val="99"/>
    <w:qFormat/>
    <w:rsid w:val="00914551"/>
    <w:pPr>
      <w:spacing w:before="80"/>
    </w:pPr>
    <w:rPr>
      <w:rFonts w:ascii="Amnesty Trade Gothic Cn" w:hAnsi="Amnesty Trade Gothic Cn"/>
      <w:caps w:val="0"/>
    </w:rPr>
  </w:style>
  <w:style w:type="paragraph" w:customStyle="1" w:styleId="RTFooterreporttitle">
    <w:name w:val="RT Footer report title"/>
    <w:basedOn w:val="Footer"/>
    <w:uiPriority w:val="99"/>
    <w:qFormat/>
    <w:rsid w:val="00914551"/>
    <w:rPr>
      <w:rFonts w:ascii="Amnesty Trade Gothic Cn" w:hAnsi="Amnesty Trade Gothic Cn"/>
      <w:b/>
    </w:rPr>
  </w:style>
  <w:style w:type="paragraph" w:customStyle="1" w:styleId="RTFooterreportsubtitle">
    <w:name w:val="RT Footer report subtitle"/>
    <w:basedOn w:val="Footer"/>
    <w:uiPriority w:val="99"/>
    <w:qFormat/>
    <w:rsid w:val="00914551"/>
    <w:rPr>
      <w:rFonts w:ascii="Amnesty Trade Gothic Cn" w:hAnsi="Amnesty Trade Gothic Cn"/>
    </w:rPr>
  </w:style>
  <w:style w:type="paragraph" w:customStyle="1" w:styleId="RTBackcoversubheading">
    <w:name w:val="RT Back cover subheading"/>
    <w:basedOn w:val="RTSubheadinglightCAPS"/>
    <w:uiPriority w:val="99"/>
    <w:qFormat/>
    <w:rsid w:val="00472CD3"/>
    <w:pPr>
      <w:framePr w:hSpace="181" w:wrap="around" w:vAnchor="page" w:hAnchor="page" w:x="2042" w:y="13155"/>
      <w:spacing w:after="240"/>
      <w:suppressOverlap/>
    </w:pPr>
    <w:rPr>
      <w:sz w:val="32"/>
      <w:szCs w:val="56"/>
    </w:rPr>
  </w:style>
  <w:style w:type="paragraph" w:customStyle="1" w:styleId="RTBackcoverblurb">
    <w:name w:val="RT Back cover blurb"/>
    <w:basedOn w:val="Backcoverblurb"/>
    <w:uiPriority w:val="99"/>
    <w:qFormat/>
    <w:rsid w:val="00D0792D"/>
    <w:rPr>
      <w:sz w:val="24"/>
    </w:rPr>
  </w:style>
  <w:style w:type="character" w:styleId="CommentReference">
    <w:name w:val="annotation reference"/>
    <w:basedOn w:val="DefaultParagraphFont"/>
    <w:uiPriority w:val="99"/>
    <w:unhideWhenUsed/>
    <w:locked/>
    <w:rsid w:val="00F10C8F"/>
    <w:rPr>
      <w:rFonts w:ascii="Arial" w:hAnsi="Arial"/>
      <w:sz w:val="16"/>
      <w:szCs w:val="16"/>
    </w:rPr>
  </w:style>
  <w:style w:type="paragraph" w:styleId="CommentText">
    <w:name w:val="annotation text"/>
    <w:basedOn w:val="Normal"/>
    <w:link w:val="CommentTextChar"/>
    <w:uiPriority w:val="99"/>
    <w:unhideWhenUsed/>
    <w:locked/>
    <w:rsid w:val="00F10C8F"/>
    <w:rPr>
      <w:rFonts w:ascii="Arial" w:hAnsi="Arial"/>
      <w:sz w:val="20"/>
    </w:rPr>
  </w:style>
  <w:style w:type="character" w:customStyle="1" w:styleId="CommentTextChar">
    <w:name w:val="Comment Text Char"/>
    <w:basedOn w:val="DefaultParagraphFont"/>
    <w:link w:val="CommentText"/>
    <w:uiPriority w:val="99"/>
    <w:rsid w:val="00F10C8F"/>
    <w:rPr>
      <w:rFonts w:ascii="Arial" w:hAnsi="Arial"/>
    </w:rPr>
  </w:style>
  <w:style w:type="paragraph" w:styleId="CommentSubject">
    <w:name w:val="annotation subject"/>
    <w:basedOn w:val="CommentText"/>
    <w:next w:val="CommentText"/>
    <w:link w:val="CommentSubjectChar"/>
    <w:uiPriority w:val="99"/>
    <w:semiHidden/>
    <w:unhideWhenUsed/>
    <w:locked/>
    <w:rsid w:val="00F10C8F"/>
    <w:rPr>
      <w:b/>
      <w:bCs/>
    </w:rPr>
  </w:style>
  <w:style w:type="character" w:customStyle="1" w:styleId="CommentSubjectChar">
    <w:name w:val="Comment Subject Char"/>
    <w:basedOn w:val="CommentTextChar"/>
    <w:link w:val="CommentSubject"/>
    <w:uiPriority w:val="99"/>
    <w:semiHidden/>
    <w:rsid w:val="00F10C8F"/>
    <w:rPr>
      <w:rFonts w:ascii="Arial" w:hAnsi="Arial"/>
      <w:b/>
      <w:bCs/>
    </w:rPr>
  </w:style>
  <w:style w:type="paragraph" w:customStyle="1" w:styleId="BVIfnrCarCharChar1CharCharCharChar">
    <w:name w:val="BVI fnr Car Char Char1 Char Char Char Char"/>
    <w:aliases w:val="BVI fnr Car Char Char Char Char Char Char,BVI fnr Car Car Car Char Char Char Char Char Char,BVI fnr Car Car Char Char Char Char Char Char"/>
    <w:basedOn w:val="Normal"/>
    <w:link w:val="FootnoteReference"/>
    <w:rsid w:val="00F154B5"/>
    <w:pPr>
      <w:spacing w:after="160" w:line="240" w:lineRule="exact"/>
    </w:pPr>
    <w:rPr>
      <w:rFonts w:ascii="Amnesty Trade Gothic Light" w:hAnsi="Amnesty Trade Gothic Light"/>
      <w:sz w:val="20"/>
      <w:vertAlign w:val="superscript"/>
    </w:rPr>
  </w:style>
  <w:style w:type="paragraph" w:customStyle="1" w:styleId="AIBodyText">
    <w:name w:val="AI Body Text"/>
    <w:basedOn w:val="Normal"/>
    <w:link w:val="AIBodyTextChar"/>
    <w:uiPriority w:val="99"/>
    <w:qFormat/>
    <w:rsid w:val="00C81EC9"/>
    <w:pPr>
      <w:suppressAutoHyphens/>
      <w:spacing w:after="120" w:line="240" w:lineRule="exact"/>
    </w:pPr>
    <w:rPr>
      <w:rFonts w:asciiTheme="minorHAnsi" w:hAnsiTheme="minorHAnsi"/>
      <w:sz w:val="18"/>
      <w:lang w:val="en-GB"/>
    </w:rPr>
  </w:style>
  <w:style w:type="character" w:styleId="Hyperlink">
    <w:name w:val="Hyperlink"/>
    <w:basedOn w:val="DefaultParagraphFont"/>
    <w:uiPriority w:val="99"/>
    <w:unhideWhenUsed/>
    <w:locked/>
    <w:rsid w:val="006D0F3B"/>
    <w:rPr>
      <w:color w:val="000000" w:themeColor="hyperlink"/>
      <w:u w:val="single"/>
    </w:rPr>
  </w:style>
  <w:style w:type="character" w:customStyle="1" w:styleId="AIBodyTextChar">
    <w:name w:val="AI Body Text Char"/>
    <w:link w:val="AIBodyText"/>
    <w:uiPriority w:val="99"/>
    <w:qFormat/>
    <w:rsid w:val="00C81EC9"/>
    <w:rPr>
      <w:rFonts w:asciiTheme="minorHAnsi" w:hAnsiTheme="minorHAnsi"/>
      <w:sz w:val="18"/>
      <w:lang w:val="en-GB"/>
    </w:rPr>
  </w:style>
  <w:style w:type="character" w:styleId="Emphasis">
    <w:name w:val="Emphasis"/>
    <w:uiPriority w:val="20"/>
    <w:qFormat/>
    <w:locked/>
    <w:rsid w:val="002F1FAB"/>
    <w:rPr>
      <w:i/>
      <w:iCs/>
    </w:rPr>
  </w:style>
  <w:style w:type="paragraph" w:customStyle="1" w:styleId="AITitle-Numbered">
    <w:name w:val="AI Title - Numbered"/>
    <w:basedOn w:val="Normal"/>
    <w:next w:val="AIBodyText"/>
    <w:uiPriority w:val="1"/>
    <w:qFormat/>
    <w:rsid w:val="00677EC2"/>
    <w:pPr>
      <w:keepNext/>
      <w:pageBreakBefore/>
      <w:suppressAutoHyphens/>
      <w:spacing w:before="100" w:after="2400" w:line="900" w:lineRule="exact"/>
      <w:ind w:left="454" w:hanging="454"/>
      <w:contextualSpacing/>
      <w:outlineLvl w:val="0"/>
    </w:pPr>
    <w:rPr>
      <w:rFonts w:ascii="Amnesty Trade Gothic Cn" w:hAnsi="Amnesty Trade Gothic Cn"/>
      <w:b/>
      <w:caps/>
      <w:noProof/>
      <w:sz w:val="90"/>
      <w:lang w:val="en-GB" w:eastAsia="en-GB"/>
    </w:rPr>
  </w:style>
  <w:style w:type="character" w:styleId="Strong">
    <w:name w:val="Strong"/>
    <w:basedOn w:val="DefaultParagraphFont"/>
    <w:uiPriority w:val="22"/>
    <w:qFormat/>
    <w:locked/>
    <w:rsid w:val="007A684B"/>
    <w:rPr>
      <w:b/>
      <w:bCs/>
    </w:rPr>
  </w:style>
  <w:style w:type="paragraph" w:customStyle="1" w:styleId="AINumberedHeading">
    <w:name w:val="AI Numbered Heading"/>
    <w:basedOn w:val="AITitle-Numbered"/>
    <w:next w:val="AIBodyText"/>
    <w:uiPriority w:val="2"/>
    <w:qFormat/>
    <w:rsid w:val="00677EC2"/>
    <w:pPr>
      <w:pageBreakBefore w:val="0"/>
      <w:tabs>
        <w:tab w:val="num" w:pos="454"/>
      </w:tabs>
      <w:spacing w:after="100" w:line="420" w:lineRule="exact"/>
    </w:pPr>
    <w:rPr>
      <w:sz w:val="42"/>
    </w:rPr>
  </w:style>
  <w:style w:type="numbering" w:customStyle="1" w:styleId="AINumberedList">
    <w:name w:val="AI Numbered List"/>
    <w:rsid w:val="00BD4080"/>
  </w:style>
  <w:style w:type="character" w:customStyle="1" w:styleId="apple-converted-space">
    <w:name w:val="apple-converted-space"/>
    <w:basedOn w:val="DefaultParagraphFont"/>
    <w:rsid w:val="003D24E3"/>
  </w:style>
  <w:style w:type="table" w:customStyle="1" w:styleId="TableGrid1">
    <w:name w:val="Table Grid1"/>
    <w:basedOn w:val="TableNormal"/>
    <w:next w:val="TableGrid"/>
    <w:uiPriority w:val="59"/>
    <w:rsid w:val="00AF12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locked/>
    <w:rsid w:val="00AF12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6143051">
      <w:bodyDiv w:val="1"/>
      <w:marLeft w:val="0"/>
      <w:marRight w:val="0"/>
      <w:marTop w:val="0"/>
      <w:marBottom w:val="0"/>
      <w:divBdr>
        <w:top w:val="none" w:sz="0" w:space="0" w:color="auto"/>
        <w:left w:val="none" w:sz="0" w:space="0" w:color="auto"/>
        <w:bottom w:val="none" w:sz="0" w:space="0" w:color="auto"/>
        <w:right w:val="none" w:sz="0" w:space="0" w:color="auto"/>
      </w:divBdr>
    </w:div>
    <w:div w:id="1488354264">
      <w:bodyDiv w:val="1"/>
      <w:marLeft w:val="0"/>
      <w:marRight w:val="0"/>
      <w:marTop w:val="0"/>
      <w:marBottom w:val="0"/>
      <w:divBdr>
        <w:top w:val="none" w:sz="0" w:space="0" w:color="auto"/>
        <w:left w:val="none" w:sz="0" w:space="0" w:color="auto"/>
        <w:bottom w:val="none" w:sz="0" w:space="0" w:color="auto"/>
        <w:right w:val="none" w:sz="0" w:space="0" w:color="auto"/>
      </w:divBdr>
    </w:div>
    <w:div w:id="206969294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footer" Target="footer4.xml"/><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footer" Target="footer1.xm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hyperlink" Target="http://www.amnesty.org/"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4.xml.rels><?xml version="1.0" encoding="UTF-8" standalone="yes"?>
<Relationships xmlns="http://schemas.openxmlformats.org/package/2006/relationships"><Relationship Id="rId1" Type="http://schemas.openxmlformats.org/officeDocument/2006/relationships/image" Target="media/image3.png"/></Relationships>
</file>

<file path=word/_rels/footer5.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hyperlink" Target="mailto:info@amnesty.org" TargetMode="External"/><Relationship Id="rId1" Type="http://schemas.openxmlformats.org/officeDocument/2006/relationships/image" Target="media/image6.png"/><Relationship Id="rId4" Type="http://schemas.openxmlformats.org/officeDocument/2006/relationships/hyperlink" Target="http://www.facebook.com/AmnestyGlobal" TargetMode="External"/></Relationships>
</file>

<file path=word/_rels/footnotes.xml.rels><?xml version="1.0" encoding="UTF-8" standalone="yes"?>
<Relationships xmlns="http://schemas.openxmlformats.org/package/2006/relationships"><Relationship Id="rId13" Type="http://schemas.openxmlformats.org/officeDocument/2006/relationships/hyperlink" Target="http://www.childwelfare.gov/pubPDFs/drugexposed.pdf" TargetMode="External"/><Relationship Id="rId18" Type="http://schemas.openxmlformats.org/officeDocument/2006/relationships/hyperlink" Target="http://www.bbc.com/news/world-us-canada-36543406" TargetMode="External"/><Relationship Id="rId26" Type="http://schemas.openxmlformats.org/officeDocument/2006/relationships/hyperlink" Target="http://www.chop.edu/news/poverty-more-damaging-gestational-drug-exposure" TargetMode="External"/><Relationship Id="rId39" Type="http://schemas.openxmlformats.org/officeDocument/2006/relationships/hyperlink" Target="file:///C:\Users\ceisert\AppData\Roaming\Microsoft\Word\www.drugpolicy.org\docUploads\Drug_Courts_Are_Not_the_Answer_Final2.pdf" TargetMode="External"/><Relationship Id="rId21" Type="http://schemas.openxmlformats.org/officeDocument/2006/relationships/hyperlink" Target="https://docs.legis.wisconsin.gov/statutes/statutes/48/III/133/" TargetMode="External"/><Relationship Id="rId34" Type="http://schemas.openxmlformats.org/officeDocument/2006/relationships/hyperlink" Target="https://www.reproductiverights.org/document/black-mamas-matter-toolkit-for-advancing-human-right-to-safe-respectful-maternal-health-care" TargetMode="External"/><Relationship Id="rId42" Type="http://schemas.openxmlformats.org/officeDocument/2006/relationships/hyperlink" Target="http://www.census.gov/quickfacts/table/PST045216/00" TargetMode="External"/><Relationship Id="rId47" Type="http://schemas.openxmlformats.org/officeDocument/2006/relationships/hyperlink" Target="http://www.who.int/substance_abuse/terminology/ICD10ClinicalDiagnosis.pdf" TargetMode="External"/><Relationship Id="rId50" Type="http://schemas.openxmlformats.org/officeDocument/2006/relationships/hyperlink" Target="http://www.acog.org/Resources-And-Publications/Committee-Opinions/Committee-on-Health-Care-for-Underserved-Women/Opioid-Abuse-Dependence-and-Addiction-in-Pregnancy" TargetMode="External"/><Relationship Id="rId55" Type="http://schemas.openxmlformats.org/officeDocument/2006/relationships/hyperlink" Target="http://www.acog.org/Resources-And-Publications/Committee-Opinions/Committee-on-Health-Care-for-Underserved-Women/Opioid-Abuse-Dependence-and-Addiction-in-Pregnancy" TargetMode="External"/><Relationship Id="rId63" Type="http://schemas.openxmlformats.org/officeDocument/2006/relationships/hyperlink" Target="http://www.ohchr.org/en/NewsEvents/Pages/DisplayNews.aspx?NewsID=16791&amp;LangID=E" TargetMode="External"/><Relationship Id="rId68" Type="http://schemas.openxmlformats.org/officeDocument/2006/relationships/hyperlink" Target="http://www.opensocietyfoundations.org/reports/impact-drug-policy-women" TargetMode="External"/><Relationship Id="rId76" Type="http://schemas.openxmlformats.org/officeDocument/2006/relationships/hyperlink" Target="http://www.childwelfare.gov/systemwide/laws_policies/statutes/drugexposed.pdf" TargetMode="External"/><Relationship Id="rId7" Type="http://schemas.openxmlformats.org/officeDocument/2006/relationships/hyperlink" Target="file:///C:\Users\ceisert\AppData\Roaming\Microsoft\Word\www.ncsl.org\research\health\fetal-homicide-state-laws.aspx" TargetMode="External"/><Relationship Id="rId71" Type="http://schemas.openxmlformats.org/officeDocument/2006/relationships/hyperlink" Target="http://www.drugpolicy.org/docUploads/Drug_Courts_Are_Not_the_Answer_Final2.pdf" TargetMode="External"/><Relationship Id="rId2" Type="http://schemas.openxmlformats.org/officeDocument/2006/relationships/hyperlink" Target="http://www.whitehouse.gov/sites/default/files/ondcp/Fact_Sheets/drug_courts_fact_sheet_5-31-11.pdf" TargetMode="External"/><Relationship Id="rId16" Type="http://schemas.openxmlformats.org/officeDocument/2006/relationships/hyperlink" Target="http://www.childwelfare.gov/pubPDFs/drugexposed.pdf" TargetMode="External"/><Relationship Id="rId29" Type="http://schemas.openxmlformats.org/officeDocument/2006/relationships/hyperlink" Target="http://www.guttmacher.org/statecenter/updates/index.html" TargetMode="External"/><Relationship Id="rId11" Type="http://schemas.openxmlformats.org/officeDocument/2006/relationships/hyperlink" Target="http://www.nytimes.com/2017/01/11/us/tennessee-abortion-crime.html" TargetMode="External"/><Relationship Id="rId24" Type="http://schemas.openxmlformats.org/officeDocument/2006/relationships/hyperlink" Target="http://www.nytimes.com/2013/10/24/us/case-explores-rights-of-fetus-versus-mother.html" TargetMode="External"/><Relationship Id="rId32" Type="http://schemas.openxmlformats.org/officeDocument/2006/relationships/hyperlink" Target="http://datacenter.commonwealthfund.org/" TargetMode="External"/><Relationship Id="rId37" Type="http://schemas.openxmlformats.org/officeDocument/2006/relationships/hyperlink" Target="http://www.gadsdentimes.com/news/20110413/court-referral-service-defends-location" TargetMode="External"/><Relationship Id="rId40" Type="http://schemas.openxmlformats.org/officeDocument/2006/relationships/hyperlink" Target="https://apps.tn.gov/carat/pdf/tnchild-39-13-107.pdf" TargetMode="External"/><Relationship Id="rId45" Type="http://schemas.openxmlformats.org/officeDocument/2006/relationships/hyperlink" Target="http://www.ncbi.nlm.nih.gov/books/NBK64148/" TargetMode="External"/><Relationship Id="rId53" Type="http://schemas.openxmlformats.org/officeDocument/2006/relationships/hyperlink" Target="http://www.who.int/substance_abuse/activities/treatment_opioid_dependence/en/" TargetMode="External"/><Relationship Id="rId58" Type="http://schemas.openxmlformats.org/officeDocument/2006/relationships/hyperlink" Target="http://www.ncbi.nlm.nih.gov/books/NBK133402/" TargetMode="External"/><Relationship Id="rId66" Type="http://schemas.openxmlformats.org/officeDocument/2006/relationships/hyperlink" Target="http://www.ohchr.org/documents/Press/HC_human_rights_and_harm_reduction_drug_policy.pdf" TargetMode="External"/><Relationship Id="rId74" Type="http://schemas.openxmlformats.org/officeDocument/2006/relationships/hyperlink" Target="https://apps.tn.gov/carat/pdf/tnchild-39-13-107.pdf" TargetMode="External"/><Relationship Id="rId5" Type="http://schemas.openxmlformats.org/officeDocument/2006/relationships/hyperlink" Target="http://www.guttmacher.org/state-policy" TargetMode="External"/><Relationship Id="rId15" Type="http://schemas.openxmlformats.org/officeDocument/2006/relationships/hyperlink" Target="http://www.ncsacw.samhsa.gov/files/Substance-Exposed-Infants.pdf" TargetMode="External"/><Relationship Id="rId23" Type="http://schemas.openxmlformats.org/officeDocument/2006/relationships/hyperlink" Target="https://scc-csc.lexum.com/scc-csc/scc-csc/en/item/1562/index.do" TargetMode="External"/><Relationship Id="rId28" Type="http://schemas.openxmlformats.org/officeDocument/2006/relationships/hyperlink" Target="http://www.guttmacher.org/state-policy/laws-policies" TargetMode="External"/><Relationship Id="rId36" Type="http://schemas.openxmlformats.org/officeDocument/2006/relationships/hyperlink" Target="http://www.acog.org/-/media/Departments/Government-Relations-and-Outreach/NASToolkit.pdf" TargetMode="External"/><Relationship Id="rId49" Type="http://schemas.openxmlformats.org/officeDocument/2006/relationships/hyperlink" Target="http://www.drugabuse.gov/publications/media-guide/science-drug-abuse-addiction-basics" TargetMode="External"/><Relationship Id="rId57" Type="http://schemas.openxmlformats.org/officeDocument/2006/relationships/hyperlink" Target="http://www.ncbi.nlm.nih.gov/books/NBK133402/" TargetMode="External"/><Relationship Id="rId61" Type="http://schemas.openxmlformats.org/officeDocument/2006/relationships/hyperlink" Target="http://www.ohchr.org/documents/Press/HC_human_rights_and_harm_reduction_drug_policy.pdf" TargetMode="External"/><Relationship Id="rId10" Type="http://schemas.openxmlformats.org/officeDocument/2006/relationships/hyperlink" Target="http://advocatesforpregnantwomen.org/Patel%20-%20Intl%20Womens%20HR%20Clinic%20Amicus%20Brief.pdf" TargetMode="External"/><Relationship Id="rId19" Type="http://schemas.openxmlformats.org/officeDocument/2006/relationships/hyperlink" Target="http://www.acog.org/-/media/Departments/Government-Relations-and-Outreach/NASToolkit.pdf" TargetMode="External"/><Relationship Id="rId31" Type="http://schemas.openxmlformats.org/officeDocument/2006/relationships/hyperlink" Target="http://wholeads.us/justice/" TargetMode="External"/><Relationship Id="rId44" Type="http://schemas.openxmlformats.org/officeDocument/2006/relationships/hyperlink" Target="http://www.salon.com/2014/04/21/you_cant_always_trust_people_to_do_the_right_thing_how_a_law_split_pro_life_gopers_in_tennessee/" TargetMode="External"/><Relationship Id="rId52" Type="http://schemas.openxmlformats.org/officeDocument/2006/relationships/hyperlink" Target="http://www.harmreductionjournal.com/content/10/1/35" TargetMode="External"/><Relationship Id="rId60" Type="http://schemas.openxmlformats.org/officeDocument/2006/relationships/hyperlink" Target="http://www.justice.gov/opa/pr/justice-department-reaches-landmark-settlement-alabama-protect-prisoners-julia-tutwiler" TargetMode="External"/><Relationship Id="rId65" Type="http://schemas.openxmlformats.org/officeDocument/2006/relationships/hyperlink" Target="http://www.unaids.org/en/resources/campaigns/2014/2014gapreport/gapreport/" TargetMode="External"/><Relationship Id="rId73" Type="http://schemas.openxmlformats.org/officeDocument/2006/relationships/hyperlink" Target="http://www.nij.gov/topics/corrections/community/pages/welcome.aspx" TargetMode="External"/><Relationship Id="rId4" Type="http://schemas.openxmlformats.org/officeDocument/2006/relationships/hyperlink" Target="https://rewire.news/legislative-tracker/law-topic/personhood/" TargetMode="External"/><Relationship Id="rId9" Type="http://schemas.openxmlformats.org/officeDocument/2006/relationships/hyperlink" Target="file:///C:\Users\ceisert\AppData\Roaming\Microsoft\Word\www.aclu.org\whats-wrong-fetal-rights" TargetMode="External"/><Relationship Id="rId14" Type="http://schemas.openxmlformats.org/officeDocument/2006/relationships/hyperlink" Target="https://dcf.wisconsin.gov/" TargetMode="External"/><Relationship Id="rId22" Type="http://schemas.openxmlformats.org/officeDocument/2006/relationships/hyperlink" Target="http://www.ohchr.org/EN/NewsEvents/Pages/DisplayNews.aspx?NewsID=20746&amp;LangID=E" TargetMode="External"/><Relationship Id="rId27" Type="http://schemas.openxmlformats.org/officeDocument/2006/relationships/hyperlink" Target="http://www.guttmacher.org/state-policy/laws-policies" TargetMode="External"/><Relationship Id="rId30" Type="http://schemas.openxmlformats.org/officeDocument/2006/relationships/hyperlink" Target="http://digitalcommons.pace.edu/lawfaculty/655/" TargetMode="External"/><Relationship Id="rId35" Type="http://schemas.openxmlformats.org/officeDocument/2006/relationships/hyperlink" Target="http://www.ncbi.nlm.nih.gov/pmc/articles/PMC2859171/" TargetMode="External"/><Relationship Id="rId43" Type="http://schemas.openxmlformats.org/officeDocument/2006/relationships/hyperlink" Target="http://www.tn.gov/assets/entities/health/attachments/NASsummary_Week_5314.pdf" TargetMode="External"/><Relationship Id="rId48" Type="http://schemas.openxmlformats.org/officeDocument/2006/relationships/hyperlink" Target="http://www.acog.org/-/media/Departments/Government-Relations-and-Outreach/NASToolkit.pdf" TargetMode="External"/><Relationship Id="rId56" Type="http://schemas.openxmlformats.org/officeDocument/2006/relationships/hyperlink" Target="http://www.propublica.org/article/how-some-alabama-hospitals-drug-test-new-mothers-without-their-consent" TargetMode="External"/><Relationship Id="rId64" Type="http://schemas.openxmlformats.org/officeDocument/2006/relationships/hyperlink" Target="http://www.ohchr.org/en/NewsEvents/Pages/DisplayNews.aspx?NewsID=16791&amp;LangID=E" TargetMode="External"/><Relationship Id="rId69" Type="http://schemas.openxmlformats.org/officeDocument/2006/relationships/hyperlink" Target="http://www.opensocietyfoundations.org/sites/default/files/Advancing-Human-Rights-in-Patient-Care-20130516.pdf" TargetMode="External"/><Relationship Id="rId77" Type="http://schemas.openxmlformats.org/officeDocument/2006/relationships/hyperlink" Target="https://napawf.org/programs/reproductive-justice-2/supporting-purvi-patel/" TargetMode="External"/><Relationship Id="rId8" Type="http://schemas.openxmlformats.org/officeDocument/2006/relationships/hyperlink" Target="https://apps.tn.gov/carat/pdf/tnchild-39-13-107.pdf" TargetMode="External"/><Relationship Id="rId51" Type="http://schemas.openxmlformats.org/officeDocument/2006/relationships/hyperlink" Target="http://www.acog.org/-/media/Departments/Government-Relations-and-Outreach/NASToolkit.pdf" TargetMode="External"/><Relationship Id="rId72" Type="http://schemas.openxmlformats.org/officeDocument/2006/relationships/hyperlink" Target="http://www.drugabuse.gov/publications/media-guide/science-drug-abuse-addiction-basics" TargetMode="External"/><Relationship Id="rId3" Type="http://schemas.openxmlformats.org/officeDocument/2006/relationships/hyperlink" Target="http://opinions.aoc.arkansas.gov/WebLink8/0/doc/335588/Electronic.aspx" TargetMode="External"/><Relationship Id="rId12" Type="http://schemas.openxmlformats.org/officeDocument/2006/relationships/hyperlink" Target="file:///C:\Users\ceisert\AppData\Roaming\Microsoft\Word\www.nytimes.com\2014\09\22\magazine\a-mother-in-jail-for-helping-her-daughter-have-an-abortion.html" TargetMode="External"/><Relationship Id="rId17" Type="http://schemas.openxmlformats.org/officeDocument/2006/relationships/hyperlink" Target="http://www.guttmacher.org/statecenter/spibs/spib_SADP.pdf" TargetMode="External"/><Relationship Id="rId25" Type="http://schemas.openxmlformats.org/officeDocument/2006/relationships/hyperlink" Target="http://www.hrw.org/sites/default/files/reports/us0309web_1.pdf" TargetMode="External"/><Relationship Id="rId33" Type="http://schemas.openxmlformats.org/officeDocument/2006/relationships/hyperlink" Target="http://www.cdc.gov/reproductivehealth/maternalinfanthealth/pmss.html" TargetMode="External"/><Relationship Id="rId38" Type="http://schemas.openxmlformats.org/officeDocument/2006/relationships/hyperlink" Target="http://www.nytimes.com/2016/12/13/us/alabama-prosecutor-valeska-criminal-justice-reform.html" TargetMode="External"/><Relationship Id="rId46" Type="http://schemas.openxmlformats.org/officeDocument/2006/relationships/hyperlink" Target="http://www.tn.gov/assets/entities/behavioral-health/sa/attachments/Tennessee_Opioid_Treatment_Clinics_Map%2C_locations.pdf" TargetMode="External"/><Relationship Id="rId59" Type="http://schemas.openxmlformats.org/officeDocument/2006/relationships/hyperlink" Target="http://www.propublica.org/article/how-some-alabama-hospitals-drug-test-new-mothers-without-their-consent" TargetMode="External"/><Relationship Id="rId67" Type="http://schemas.openxmlformats.org/officeDocument/2006/relationships/hyperlink" Target="http://www.hrw.org/reports/2013/12/11/harms-way" TargetMode="External"/><Relationship Id="rId20" Type="http://schemas.openxmlformats.org/officeDocument/2006/relationships/hyperlink" Target="http://www.childwelfare.gov/pubPDFs/drugexposed.pdf" TargetMode="External"/><Relationship Id="rId41" Type="http://schemas.openxmlformats.org/officeDocument/2006/relationships/hyperlink" Target="http://law.justia.com/citations.html" TargetMode="External"/><Relationship Id="rId54" Type="http://schemas.openxmlformats.org/officeDocument/2006/relationships/hyperlink" Target="http://www.ncga.state.nc.us/Applications/BillLookUp/LoadBillDocument.aspx?SessionCode=2015&amp;DocNum=1229&amp;SeqNum=0" TargetMode="External"/><Relationship Id="rId62" Type="http://schemas.openxmlformats.org/officeDocument/2006/relationships/hyperlink" Target="http://www.ohchr.org/en/NewsEvents/Pages/DisplayNews.aspx?NewsID=16791&amp;LangID=E" TargetMode="External"/><Relationship Id="rId70" Type="http://schemas.openxmlformats.org/officeDocument/2006/relationships/hyperlink" Target="http://www.wma.net/en/30publications/10policies/c8/" TargetMode="External"/><Relationship Id="rId75" Type="http://schemas.openxmlformats.org/officeDocument/2006/relationships/hyperlink" Target="http://www.alcoholpolicy.niaaa.nih.gov/Alcohol_and_Pregnancy_Civil_Commitment.html?tab=specificDate&amp;date=1%2f1%2f2015&amp;dateStart=1%2f1%2f2015&amp;dateEnd=1%2f1%2f2015&amp;onlyChanges=False" TargetMode="External"/><Relationship Id="rId1" Type="http://schemas.openxmlformats.org/officeDocument/2006/relationships/hyperlink" Target="file:///\\usny0-vs-dc1ro\users$\ceisert\Desktop\www.childwelfare.gov\topics\can\overview\" TargetMode="External"/><Relationship Id="rId6" Type="http://schemas.openxmlformats.org/officeDocument/2006/relationships/hyperlink" Target="http://www.ncsl.org/research/health/fetal-homicide-state-laws.aspx" TargetMode="External"/></Relationships>
</file>

<file path=word/theme/theme1.xml><?xml version="1.0" encoding="utf-8"?>
<a:theme xmlns:a="http://schemas.openxmlformats.org/drawingml/2006/main" name="AI ">
  <a:themeElements>
    <a:clrScheme name="Amnesty International">
      <a:dk1>
        <a:sysClr val="windowText" lastClr="000000"/>
      </a:dk1>
      <a:lt1>
        <a:sysClr val="window" lastClr="FFFFFF"/>
      </a:lt1>
      <a:dk2>
        <a:srgbClr val="808080"/>
      </a:dk2>
      <a:lt2>
        <a:srgbClr val="FFFFFF"/>
      </a:lt2>
      <a:accent1>
        <a:srgbClr val="FFFF00"/>
      </a:accent1>
      <a:accent2>
        <a:srgbClr val="333333"/>
      </a:accent2>
      <a:accent3>
        <a:srgbClr val="666666"/>
      </a:accent3>
      <a:accent4>
        <a:srgbClr val="999999"/>
      </a:accent4>
      <a:accent5>
        <a:srgbClr val="CCCCCC"/>
      </a:accent5>
      <a:accent6>
        <a:srgbClr val="E6E6E6"/>
      </a:accent6>
      <a:hlink>
        <a:srgbClr val="000000"/>
      </a:hlink>
      <a:folHlink>
        <a:srgbClr val="FFFF00"/>
      </a:folHlink>
    </a:clrScheme>
    <a:fontScheme name="Amnesty Fonts">
      <a:majorFont>
        <a:latin typeface="Amnesty Trade Gothic Cn"/>
        <a:ea typeface=""/>
        <a:cs typeface=""/>
      </a:majorFont>
      <a:minorFont>
        <a:latin typeface="Amnesty Trade Gothic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C24A11-A58A-4578-B7D9-DDD3828EB6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70</Pages>
  <Words>28196</Words>
  <Characters>155078</Characters>
  <Application>Microsoft Office Word</Application>
  <DocSecurity>0</DocSecurity>
  <Lines>1292</Lines>
  <Paragraphs>365</Paragraphs>
  <ScaleCrop>false</ScaleCrop>
  <HeadingPairs>
    <vt:vector size="2" baseType="variant">
      <vt:variant>
        <vt:lpstr>Title</vt:lpstr>
      </vt:variant>
      <vt:variant>
        <vt:i4>1</vt:i4>
      </vt:variant>
    </vt:vector>
  </HeadingPairs>
  <TitlesOfParts>
    <vt:vector size="1" baseType="lpstr">
      <vt:lpstr>Report</vt:lpstr>
    </vt:vector>
  </TitlesOfParts>
  <Company>Amnesty International</Company>
  <LinksUpToDate>false</LinksUpToDate>
  <CharactersWithSpaces>182909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dc:title>
  <dc:creator>Carolyn Eisert</dc:creator>
  <cp:keywords>Amnesty International Report</cp:keywords>
  <cp:lastModifiedBy>netchamp</cp:lastModifiedBy>
  <cp:revision>3</cp:revision>
  <cp:lastPrinted>2017-05-01T21:31:00Z</cp:lastPrinted>
  <dcterms:created xsi:type="dcterms:W3CDTF">2017-05-17T03:44:00Z</dcterms:created>
  <dcterms:modified xsi:type="dcterms:W3CDTF">2017-05-17T03:49:00Z</dcterms:modified>
  <cp:category>Report Template</cp:category>
</cp:coreProperties>
</file>